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Pr="00190E55"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Pr="001D153B"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w:t>
      </w:r>
      <w:bookmarkStart w:id="0" w:name="_GoBack"/>
      <w:bookmarkEnd w:id="0"/>
      <w:r w:rsidRPr="009B06CD">
        <w:rPr>
          <w:rFonts w:ascii="Times New Roman" w:eastAsia="Times New Roman" w:hAnsi="Times New Roman" w:cs="Times New Roman"/>
          <w:sz w:val="24"/>
          <w:szCs w:val="24"/>
          <w:lang w:eastAsia="ru-RU"/>
        </w:rPr>
        <w:t>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lastRenderedPageBreak/>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w:t>
      </w:r>
      <w:r w:rsidRPr="009B06CD">
        <w:rPr>
          <w:rFonts w:ascii="Times New Roman" w:eastAsia="Times New Roman" w:hAnsi="Times New Roman" w:cs="Times New Roman"/>
          <w:sz w:val="24"/>
          <w:szCs w:val="24"/>
          <w:lang w:eastAsia="ru-RU"/>
        </w:rPr>
        <w:lastRenderedPageBreak/>
        <w:t>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w:t>
      </w:r>
      <w:r w:rsidRPr="009B06CD">
        <w:rPr>
          <w:rFonts w:ascii="Times New Roman" w:eastAsia="Times New Roman" w:hAnsi="Times New Roman" w:cs="Times New Roman"/>
          <w:sz w:val="24"/>
          <w:szCs w:val="24"/>
          <w:lang w:eastAsia="ru-RU"/>
        </w:rPr>
        <w:lastRenderedPageBreak/>
        <w:t>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9B06CD">
        <w:rPr>
          <w:rFonts w:ascii="Times New Roman" w:eastAsia="Times New Roman" w:hAnsi="Times New Roman" w:cs="Times New Roman"/>
          <w:sz w:val="24"/>
          <w:szCs w:val="24"/>
          <w:lang w:eastAsia="ru-RU"/>
        </w:rPr>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B0305B">
        <w:rPr>
          <w:rFonts w:ascii="Times New Roman" w:eastAsia="Calibri" w:hAnsi="Times New Roman" w:cs="Times New Roman"/>
          <w:sz w:val="24"/>
          <w:szCs w:val="24"/>
          <w:lang w:eastAsia="ru-RU"/>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lastRenderedPageBreak/>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20" w:history="1">
        <w:r w:rsidRPr="00FC7C94">
          <w:rPr>
            <w:rFonts w:ascii="Times New Roman" w:eastAsia="Calibri" w:hAnsi="Times New Roman" w:cs="Times New Roman"/>
          </w:rPr>
          <w:t>законам</w:t>
        </w:r>
      </w:hyperlink>
      <w:r w:rsidRPr="00FC7C94">
        <w:rPr>
          <w:rFonts w:ascii="Times New Roman" w:eastAsia="Calibri" w:hAnsi="Times New Roman" w:cs="Times New Roman"/>
        </w:rPr>
        <w:t>и.</w:t>
      </w:r>
    </w:p>
    <w:p w:rsidR="00FC7C94" w:rsidRDefault="00FC7C94" w:rsidP="00FC7C94">
      <w:pPr>
        <w:spacing w:after="0" w:line="276" w:lineRule="auto"/>
        <w:ind w:firstLine="709"/>
        <w:jc w:val="both"/>
        <w:rPr>
          <w:rFonts w:ascii="Times New Roman" w:eastAsia="Calibri" w:hAnsi="Times New Roman" w:cs="Times New Roman"/>
        </w:rPr>
      </w:pPr>
      <w:r w:rsidRPr="00FC7C94">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lastRenderedPageBreak/>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eastAsia="Calibri" w:hAnsi="Times New Roman" w:cs="Times New Roman"/>
          <w:sz w:val="24"/>
          <w:szCs w:val="24"/>
        </w:rPr>
        <w:t>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катего</w:t>
      </w:r>
      <w:r w:rsidR="009C5104">
        <w:rPr>
          <w:rFonts w:ascii="Times New Roman" w:eastAsia="Times New Roman" w:hAnsi="Times New Roman" w:cs="Times New Roman"/>
          <w:sz w:val="24"/>
          <w:szCs w:val="24"/>
          <w:lang w:eastAsia="ru-RU"/>
        </w:rPr>
        <w:lastRenderedPageBreak/>
        <w:t>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w:t>
      </w:r>
      <w:r w:rsidRPr="00A651FF">
        <w:rPr>
          <w:rFonts w:ascii="Times New Roman" w:eastAsia="Times New Roman" w:hAnsi="Times New Roman" w:cs="Times New Roman"/>
          <w:sz w:val="24"/>
          <w:szCs w:val="24"/>
          <w:lang w:eastAsia="ru-RU"/>
        </w:rPr>
        <w:lastRenderedPageBreak/>
        <w:t xml:space="preserve">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w:t>
      </w:r>
      <w:r w:rsidRPr="003E060C">
        <w:rPr>
          <w:rFonts w:ascii="Times New Roman" w:eastAsia="Times New Roman" w:hAnsi="Times New Roman" w:cs="Times New Roman"/>
          <w:sz w:val="24"/>
          <w:szCs w:val="24"/>
          <w:lang w:eastAsia="ru-RU"/>
        </w:rPr>
        <w:lastRenderedPageBreak/>
        <w:t xml:space="preserve">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w:t>
      </w:r>
      <w:r w:rsidRPr="003E060C">
        <w:rPr>
          <w:rFonts w:ascii="Times New Roman" w:eastAsia="Times New Roman" w:hAnsi="Times New Roman" w:cs="Times New Roman"/>
          <w:sz w:val="24"/>
          <w:szCs w:val="24"/>
          <w:lang w:eastAsia="ru-RU"/>
        </w:rPr>
        <w:lastRenderedPageBreak/>
        <w:t xml:space="preserve">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59" w:rsidRDefault="00C64259" w:rsidP="007F0300">
      <w:pPr>
        <w:spacing w:after="0" w:line="240" w:lineRule="auto"/>
      </w:pPr>
      <w:r>
        <w:separator/>
      </w:r>
    </w:p>
  </w:endnote>
  <w:endnote w:type="continuationSeparator" w:id="0">
    <w:p w:rsidR="00C64259" w:rsidRDefault="00C64259"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59" w:rsidRDefault="00C64259" w:rsidP="007F0300">
      <w:pPr>
        <w:spacing w:after="0" w:line="240" w:lineRule="auto"/>
      </w:pPr>
      <w:r>
        <w:separator/>
      </w:r>
    </w:p>
  </w:footnote>
  <w:footnote w:type="continuationSeparator" w:id="0">
    <w:p w:rsidR="00C64259" w:rsidRDefault="00C64259"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5B538B" w:rsidRDefault="005B538B">
        <w:pPr>
          <w:pStyle w:val="a7"/>
          <w:jc w:val="right"/>
        </w:pPr>
        <w:r>
          <w:fldChar w:fldCharType="begin"/>
        </w:r>
        <w:r>
          <w:instrText>PAGE   \* MERGEFORMAT</w:instrText>
        </w:r>
        <w:r>
          <w:fldChar w:fldCharType="separate"/>
        </w:r>
        <w:r w:rsidR="00317DBE">
          <w:rPr>
            <w:noProof/>
          </w:rPr>
          <w:t>5</w:t>
        </w:r>
        <w:r>
          <w:rPr>
            <w:noProof/>
          </w:rPr>
          <w:fldChar w:fldCharType="end"/>
        </w:r>
      </w:p>
    </w:sdtContent>
  </w:sdt>
  <w:p w:rsidR="005B538B" w:rsidRDefault="005B538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7086"/>
    <w:rsid w:val="00364B9C"/>
    <w:rsid w:val="003724C7"/>
    <w:rsid w:val="00381AB6"/>
    <w:rsid w:val="0038484F"/>
    <w:rsid w:val="003A4A52"/>
    <w:rsid w:val="003B6F15"/>
    <w:rsid w:val="003E060C"/>
    <w:rsid w:val="003E3C85"/>
    <w:rsid w:val="003F191C"/>
    <w:rsid w:val="00446B40"/>
    <w:rsid w:val="00450DC5"/>
    <w:rsid w:val="004576C0"/>
    <w:rsid w:val="0047520B"/>
    <w:rsid w:val="00491E1A"/>
    <w:rsid w:val="0049711E"/>
    <w:rsid w:val="004D2131"/>
    <w:rsid w:val="004F7896"/>
    <w:rsid w:val="00510B26"/>
    <w:rsid w:val="00513621"/>
    <w:rsid w:val="00531E1F"/>
    <w:rsid w:val="00577C43"/>
    <w:rsid w:val="00582739"/>
    <w:rsid w:val="00583415"/>
    <w:rsid w:val="00584E6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00895"/>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5CB8"/>
    <w:rsid w:val="00F47C09"/>
    <w:rsid w:val="00F64893"/>
    <w:rsid w:val="00F662CF"/>
    <w:rsid w:val="00F86893"/>
    <w:rsid w:val="00F9792E"/>
    <w:rsid w:val="00FA1B79"/>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525A-5421-4869-8A78-8F37742B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32</Pages>
  <Words>16824</Words>
  <Characters>95903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71</cp:revision>
  <cp:lastPrinted>2019-03-04T08:48:00Z</cp:lastPrinted>
  <dcterms:created xsi:type="dcterms:W3CDTF">2016-06-08T09:45:00Z</dcterms:created>
  <dcterms:modified xsi:type="dcterms:W3CDTF">2020-12-07T06:49:00Z</dcterms:modified>
</cp:coreProperties>
</file>