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9E4A1C">
        <w:rPr>
          <w:rFonts w:ascii="Times New Roman" w:eastAsia="MS Mincho" w:hAnsi="Times New Roman" w:cs="Times New Roman"/>
          <w:sz w:val="24"/>
          <w:szCs w:val="24"/>
          <w:lang w:eastAsia="ja-JP"/>
        </w:rPr>
        <w:t>№ 18</w:t>
      </w:r>
      <w:r w:rsidR="00EF6A7D">
        <w:rPr>
          <w:rFonts w:ascii="Times New Roman" w:eastAsia="MS Mincho" w:hAnsi="Times New Roman" w:cs="Times New Roman"/>
          <w:sz w:val="24"/>
          <w:szCs w:val="24"/>
          <w:lang w:eastAsia="ja-JP"/>
        </w:rPr>
        <w:t>4</w:t>
      </w:r>
      <w:r w:rsidR="00282574">
        <w:rPr>
          <w:rFonts w:ascii="Times New Roman" w:eastAsia="MS Mincho" w:hAnsi="Times New Roman" w:cs="Times New Roman"/>
          <w:sz w:val="24"/>
          <w:szCs w:val="24"/>
          <w:lang w:eastAsia="ja-JP"/>
        </w:rPr>
        <w:t>/1</w:t>
      </w:r>
      <w:r w:rsidR="00EF6A7D">
        <w:rPr>
          <w:rFonts w:ascii="Times New Roman" w:eastAsia="MS Mincho" w:hAnsi="Times New Roman" w:cs="Times New Roman"/>
          <w:sz w:val="24"/>
          <w:szCs w:val="24"/>
          <w:lang w:eastAsia="ja-JP"/>
        </w:rPr>
        <w:t xml:space="preserve"> (457</w:t>
      </w:r>
      <w:r w:rsidR="00282574">
        <w:rPr>
          <w:rFonts w:ascii="Times New Roman" w:eastAsia="MS Mincho" w:hAnsi="Times New Roman" w:cs="Times New Roman"/>
          <w:sz w:val="24"/>
          <w:szCs w:val="24"/>
          <w:lang w:eastAsia="ja-JP"/>
        </w:rPr>
        <w:t>/1</w:t>
      </w:r>
      <w:r w:rsidR="0061363D">
        <w:rPr>
          <w:rFonts w:ascii="Times New Roman" w:eastAsia="MS Mincho" w:hAnsi="Times New Roman" w:cs="Times New Roman"/>
          <w:sz w:val="24"/>
          <w:szCs w:val="24"/>
          <w:lang w:eastAsia="ja-JP"/>
        </w:rPr>
        <w:t>) от «</w:t>
      </w:r>
      <w:r w:rsidR="00282574">
        <w:rPr>
          <w:rFonts w:ascii="Times New Roman" w:eastAsia="MS Mincho" w:hAnsi="Times New Roman" w:cs="Times New Roman"/>
          <w:sz w:val="24"/>
          <w:szCs w:val="24"/>
          <w:lang w:eastAsia="ja-JP"/>
        </w:rPr>
        <w:t>2</w:t>
      </w:r>
      <w:r w:rsidRPr="0071641A">
        <w:rPr>
          <w:rFonts w:ascii="Times New Roman" w:eastAsia="MS Mincho" w:hAnsi="Times New Roman" w:cs="Times New Roman"/>
          <w:sz w:val="24"/>
          <w:szCs w:val="24"/>
          <w:lang w:eastAsia="ja-JP"/>
        </w:rPr>
        <w:t xml:space="preserve">» </w:t>
      </w:r>
      <w:r w:rsidR="00EF6A7D">
        <w:rPr>
          <w:rFonts w:ascii="Times New Roman" w:eastAsia="MS Mincho" w:hAnsi="Times New Roman" w:cs="Times New Roman"/>
          <w:sz w:val="24"/>
          <w:szCs w:val="24"/>
          <w:lang w:eastAsia="ja-JP"/>
        </w:rPr>
        <w:t>но</w:t>
      </w:r>
      <w:r w:rsidR="004C4AB9">
        <w:rPr>
          <w:rFonts w:ascii="Times New Roman" w:eastAsia="MS Mincho" w:hAnsi="Times New Roman" w:cs="Times New Roman"/>
          <w:sz w:val="24"/>
          <w:szCs w:val="24"/>
          <w:lang w:eastAsia="ja-JP"/>
        </w:rPr>
        <w:t>я</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282574" w:rsidRPr="00282574" w:rsidRDefault="00282574" w:rsidP="0028257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82574">
        <w:rPr>
          <w:rFonts w:ascii="Times New Roman" w:eastAsia="Times New Roman" w:hAnsi="Times New Roman" w:cs="Times New Roman"/>
          <w:b/>
          <w:sz w:val="26"/>
          <w:szCs w:val="26"/>
          <w:lang w:eastAsia="ru-RU"/>
        </w:rPr>
        <w:t>ПОСТАНОВЛЕНИЕ</w:t>
      </w:r>
    </w:p>
    <w:p w:rsidR="00282574" w:rsidRPr="00282574" w:rsidRDefault="00282574" w:rsidP="0028257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282574" w:rsidRPr="00282574" w:rsidRDefault="00282574" w:rsidP="00282574">
      <w:pPr>
        <w:widowControl w:val="0"/>
        <w:autoSpaceDE w:val="0"/>
        <w:autoSpaceDN w:val="0"/>
        <w:spacing w:after="0" w:line="240" w:lineRule="auto"/>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01.11.2022                                         </w:t>
      </w:r>
      <w:r>
        <w:rPr>
          <w:rFonts w:ascii="Times New Roman" w:eastAsia="Times New Roman" w:hAnsi="Times New Roman" w:cs="Times New Roman"/>
          <w:sz w:val="26"/>
          <w:szCs w:val="26"/>
          <w:lang w:eastAsia="ru-RU"/>
        </w:rPr>
        <w:t xml:space="preserve">                           </w:t>
      </w:r>
      <w:r w:rsidRPr="00282574">
        <w:rPr>
          <w:rFonts w:ascii="Times New Roman" w:eastAsia="Times New Roman" w:hAnsi="Times New Roman" w:cs="Times New Roman"/>
          <w:sz w:val="26"/>
          <w:szCs w:val="26"/>
          <w:lang w:eastAsia="ru-RU"/>
        </w:rPr>
        <w:t xml:space="preserve">                                           № 102/1    </w:t>
      </w:r>
    </w:p>
    <w:p w:rsidR="00282574" w:rsidRPr="00282574" w:rsidRDefault="00282574" w:rsidP="00282574">
      <w:pPr>
        <w:widowControl w:val="0"/>
        <w:autoSpaceDE w:val="0"/>
        <w:autoSpaceDN w:val="0"/>
        <w:spacing w:after="0" w:line="240" w:lineRule="auto"/>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                                                                                                    </w:t>
      </w:r>
    </w:p>
    <w:p w:rsidR="00282574" w:rsidRPr="00282574" w:rsidRDefault="00282574" w:rsidP="00282574">
      <w:pPr>
        <w:spacing w:after="0" w:line="240" w:lineRule="auto"/>
        <w:jc w:val="center"/>
        <w:rPr>
          <w:rFonts w:ascii="Times New Roman" w:eastAsia="Times New Roman" w:hAnsi="Times New Roman" w:cs="Times New Roman"/>
          <w:bCs/>
          <w:sz w:val="26"/>
          <w:szCs w:val="26"/>
          <w:lang w:eastAsia="ru-RU"/>
        </w:rPr>
      </w:pPr>
      <w:r w:rsidRPr="00282574">
        <w:rPr>
          <w:rFonts w:ascii="Times New Roman" w:eastAsia="Times New Roman" w:hAnsi="Times New Roman" w:cs="Times New Roman"/>
          <w:bCs/>
          <w:sz w:val="26"/>
          <w:szCs w:val="26"/>
          <w:lang w:eastAsia="ru-RU"/>
        </w:rPr>
        <w:t>Об утверждении основных направлений бюджетной и налоговой политики муниципального образования «Ягодное сельское поселение» на 2023 год и плановый период 2024-2025 годы</w:t>
      </w: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В соответствии со статьей 172 Бюджетног</w:t>
      </w:r>
      <w:r>
        <w:rPr>
          <w:rFonts w:ascii="Times New Roman" w:eastAsia="Times New Roman" w:hAnsi="Times New Roman" w:cs="Times New Roman"/>
          <w:sz w:val="26"/>
          <w:szCs w:val="26"/>
          <w:lang w:eastAsia="ru-RU"/>
        </w:rPr>
        <w:t xml:space="preserve">о кодекса Российской федерации, </w:t>
      </w:r>
      <w:r w:rsidRPr="00282574">
        <w:rPr>
          <w:rFonts w:ascii="Times New Roman" w:eastAsia="Times New Roman" w:hAnsi="Times New Roman" w:cs="Times New Roman"/>
          <w:sz w:val="26"/>
          <w:szCs w:val="26"/>
          <w:lang w:eastAsia="ru-RU"/>
        </w:rPr>
        <w:t>Уставом муниципального образования «Ягодное сельское поселение»</w:t>
      </w: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ПОСТАНОВЛЯЮ:</w:t>
      </w: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1. Утвердить основные направления бюджетной и налоговой политики муниципального образования «Ягодное сельское поселение» на 2023 год и плановый период 2024-2025 годы согласно приложению к настоящему постановлению.</w:t>
      </w: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2.</w:t>
      </w:r>
      <w:r w:rsidRPr="00282574">
        <w:rPr>
          <w:rFonts w:ascii="Times New Roman" w:eastAsia="Times New Roman" w:hAnsi="Times New Roman" w:cs="Times New Roman"/>
          <w:sz w:val="26"/>
          <w:szCs w:val="26"/>
          <w:lang w:eastAsia="ru-RU"/>
        </w:rPr>
        <w:tab/>
        <w:t>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3. Контроль исполнения настоящего постановления возложить на ведущего специалиста по экономике и финансам.</w:t>
      </w:r>
    </w:p>
    <w:p w:rsidR="00282574" w:rsidRPr="00282574" w:rsidRDefault="00282574" w:rsidP="00282574">
      <w:pPr>
        <w:spacing w:after="0" w:line="240" w:lineRule="auto"/>
        <w:jc w:val="both"/>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both"/>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Глава Ягодного сельского поселения                                                               Г.И. Баранов</w:t>
      </w:r>
    </w:p>
    <w:p w:rsidR="00282574" w:rsidRPr="00282574" w:rsidRDefault="00282574" w:rsidP="00282574">
      <w:pPr>
        <w:spacing w:after="0" w:line="240" w:lineRule="auto"/>
        <w:jc w:val="both"/>
        <w:rPr>
          <w:rFonts w:ascii="Times New Roman" w:eastAsia="Times New Roman" w:hAnsi="Times New Roman" w:cs="Times New Roman"/>
          <w:sz w:val="26"/>
          <w:szCs w:val="26"/>
          <w:lang w:eastAsia="ru-RU"/>
        </w:rPr>
      </w:pPr>
    </w:p>
    <w:p w:rsidR="00282574" w:rsidRPr="00282574" w:rsidRDefault="00282574" w:rsidP="00282574">
      <w:pPr>
        <w:spacing w:after="0" w:line="240" w:lineRule="auto"/>
        <w:rPr>
          <w:rFonts w:ascii="Times New Roman" w:eastAsia="Times New Roman" w:hAnsi="Times New Roman" w:cs="Times New Roman"/>
          <w:sz w:val="26"/>
          <w:szCs w:val="26"/>
          <w:lang w:eastAsia="ru-RU"/>
        </w:rPr>
      </w:pP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Приложение </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УТВЕРЖДЕНЫ </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постановлением Администрации </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Ягодного сельского</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поселения от 01.11.2022 № 102/1</w:t>
      </w:r>
    </w:p>
    <w:p w:rsidR="00282574" w:rsidRPr="00282574" w:rsidRDefault="00282574" w:rsidP="00282574">
      <w:pPr>
        <w:spacing w:after="0" w:line="240" w:lineRule="auto"/>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center"/>
        <w:rPr>
          <w:rFonts w:ascii="Times New Roman" w:eastAsia="Times New Roman" w:hAnsi="Times New Roman" w:cs="Times New Roman"/>
          <w:bCs/>
          <w:sz w:val="26"/>
          <w:szCs w:val="26"/>
          <w:lang w:eastAsia="ru-RU"/>
        </w:rPr>
      </w:pPr>
      <w:r w:rsidRPr="00282574">
        <w:rPr>
          <w:rFonts w:ascii="Times New Roman" w:eastAsia="Times New Roman" w:hAnsi="Times New Roman" w:cs="Times New Roman"/>
          <w:bCs/>
          <w:sz w:val="26"/>
          <w:szCs w:val="26"/>
          <w:lang w:eastAsia="ru-RU"/>
        </w:rPr>
        <w:t xml:space="preserve">Основные направления бюджетной и налоговой политики </w:t>
      </w:r>
    </w:p>
    <w:p w:rsidR="00282574" w:rsidRPr="00282574" w:rsidRDefault="00282574" w:rsidP="00282574">
      <w:pPr>
        <w:spacing w:after="0" w:line="240" w:lineRule="auto"/>
        <w:jc w:val="center"/>
        <w:rPr>
          <w:rFonts w:ascii="Times New Roman" w:eastAsia="Times New Roman" w:hAnsi="Times New Roman" w:cs="Times New Roman"/>
          <w:bCs/>
          <w:sz w:val="26"/>
          <w:szCs w:val="26"/>
          <w:lang w:eastAsia="ru-RU"/>
        </w:rPr>
      </w:pPr>
      <w:r w:rsidRPr="00282574">
        <w:rPr>
          <w:rFonts w:ascii="Times New Roman" w:eastAsia="Times New Roman" w:hAnsi="Times New Roman" w:cs="Times New Roman"/>
          <w:bCs/>
          <w:sz w:val="26"/>
          <w:szCs w:val="26"/>
          <w:lang w:eastAsia="ru-RU"/>
        </w:rPr>
        <w:t xml:space="preserve">муниципального образования «Ягодное сельское поселение» </w:t>
      </w:r>
    </w:p>
    <w:p w:rsidR="00282574" w:rsidRPr="00282574" w:rsidRDefault="00282574" w:rsidP="00282574">
      <w:pPr>
        <w:spacing w:after="0" w:line="240" w:lineRule="auto"/>
        <w:jc w:val="center"/>
        <w:rPr>
          <w:rFonts w:ascii="Times New Roman" w:eastAsia="Times New Roman" w:hAnsi="Times New Roman" w:cs="Times New Roman"/>
          <w:bCs/>
          <w:sz w:val="26"/>
          <w:szCs w:val="26"/>
          <w:lang w:eastAsia="ru-RU"/>
        </w:rPr>
      </w:pPr>
      <w:r w:rsidRPr="00282574">
        <w:rPr>
          <w:rFonts w:ascii="Times New Roman" w:eastAsia="Times New Roman" w:hAnsi="Times New Roman" w:cs="Times New Roman"/>
          <w:bCs/>
          <w:sz w:val="26"/>
          <w:szCs w:val="26"/>
          <w:lang w:eastAsia="ru-RU"/>
        </w:rPr>
        <w:t>на 2023 год и плановый период 2024-2025 годы</w:t>
      </w: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xml:space="preserve">Основные направления бюджетной и налоговой политики муниципального образования «Ягодное сельское поселение» (далее – Ягодное сельское поселение) на 2023 год и плановый период 2024-2025 годы (далее – Основные направления) </w:t>
      </w:r>
      <w:r w:rsidRPr="00282574">
        <w:rPr>
          <w:rFonts w:ascii="Times New Roman" w:eastAsia="Calibri" w:hAnsi="Times New Roman" w:cs="Times New Roman"/>
          <w:sz w:val="26"/>
          <w:szCs w:val="26"/>
        </w:rPr>
        <w:lastRenderedPageBreak/>
        <w:t>разработаны в соответствии со статьей 172 Бюджетного кодекса Российской Федерации.</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Целью Основных направлений является описание условий, принимаемых для составления проекта бюджета муниципального образования, основных подходов к его формированию, а также обеспечение прозрачности и открытости бюджетного планирования.</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Формирование Основных направлений осуществлялось на основе задач и приоритетов социально-экономического развития Ягодного сельского поселения, с учетом положений Федерального закона от 6 октября 2003 года № 131-ФЗ «Об общих принципах организации местного самоуправ</w:t>
      </w:r>
      <w:r>
        <w:rPr>
          <w:rFonts w:ascii="Times New Roman" w:eastAsia="Calibri" w:hAnsi="Times New Roman" w:cs="Times New Roman"/>
          <w:sz w:val="26"/>
          <w:szCs w:val="26"/>
        </w:rPr>
        <w:t xml:space="preserve">ления в Российской Федерации», </w:t>
      </w:r>
      <w:r w:rsidRPr="00282574">
        <w:rPr>
          <w:rFonts w:ascii="Times New Roman" w:eastAsia="Calibri" w:hAnsi="Times New Roman" w:cs="Times New Roman"/>
          <w:sz w:val="26"/>
          <w:szCs w:val="26"/>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Бюджетная и налоговая политика Ягодного сельского поселения на 2023 год и плановый период 2024-2025 годы направлены на увеличение налоговых и неналоговых доходов местного бюджета, повышение бюджетной устойчивости, а также создание благоприятных условий для развития производства, ведения предпринимательской и инвестиционной деятельности.</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p>
    <w:p w:rsidR="00282574" w:rsidRPr="00282574" w:rsidRDefault="00282574" w:rsidP="00282574">
      <w:pPr>
        <w:spacing w:after="0" w:line="240" w:lineRule="auto"/>
        <w:ind w:firstLine="708"/>
        <w:jc w:val="center"/>
        <w:rPr>
          <w:rFonts w:ascii="Times New Roman" w:eastAsia="Calibri" w:hAnsi="Times New Roman" w:cs="Times New Roman"/>
          <w:sz w:val="26"/>
          <w:szCs w:val="26"/>
        </w:rPr>
      </w:pPr>
      <w:r w:rsidRPr="00282574">
        <w:rPr>
          <w:rFonts w:ascii="Times New Roman" w:eastAsia="Calibri" w:hAnsi="Times New Roman" w:cs="Times New Roman"/>
          <w:sz w:val="26"/>
          <w:szCs w:val="26"/>
        </w:rPr>
        <w:t>Основные направления налоговой политики</w:t>
      </w:r>
    </w:p>
    <w:p w:rsidR="00282574" w:rsidRPr="00282574" w:rsidRDefault="00282574" w:rsidP="00282574">
      <w:pPr>
        <w:spacing w:after="0" w:line="240" w:lineRule="auto"/>
        <w:ind w:firstLine="708"/>
        <w:jc w:val="center"/>
        <w:rPr>
          <w:rFonts w:ascii="Times New Roman" w:eastAsia="Calibri" w:hAnsi="Times New Roman" w:cs="Times New Roman"/>
          <w:sz w:val="26"/>
          <w:szCs w:val="26"/>
        </w:rPr>
      </w:pP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xml:space="preserve">Налоговая политика Ягодного сельского поселения определена с учетом основных направлений налоговой политики Российской Федерации на 2023 год и плановый период 2024-2025 годов, а также изменений федерального законодательства и законодательства Томской области. </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Основными целями налоговой политики на 2023 год и плановый период 2024-2025 годов остаются обеспечение полного и стабильного поступления налоговых и неналоговых платежей в местный бюджет.</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Основными направлениями решения данной задачи являются:</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xml:space="preserve"> - неизменность налоговой нагрузки, обеспечивающей бюджетную устойчивость в среднесрочной и долгосрочной перспективе;</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увеличение налоговой базы и оптимизация налоговых льгот;</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повышение собираемости налогов и снижение уровня недоимки;</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повышение эффективности управления и распор</w:t>
      </w:r>
      <w:r>
        <w:rPr>
          <w:rFonts w:ascii="Times New Roman" w:eastAsia="Calibri" w:hAnsi="Times New Roman" w:cs="Times New Roman"/>
          <w:sz w:val="26"/>
          <w:szCs w:val="26"/>
        </w:rPr>
        <w:t xml:space="preserve">яжения объектами муниципальной </w:t>
      </w:r>
      <w:r w:rsidRPr="00282574">
        <w:rPr>
          <w:rFonts w:ascii="Times New Roman" w:eastAsia="Calibri" w:hAnsi="Times New Roman" w:cs="Times New Roman"/>
          <w:sz w:val="26"/>
          <w:szCs w:val="26"/>
        </w:rPr>
        <w:t>собственности Ягодного сельского поселения;</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расширение мероприятий по мобилизации дополнительных налоговых поступлений в бюджет Ягодного сельского поселения, сокращению объемов задолженности по налоговым доходам;</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обеспечение публичности и прозрачности процесса принятия муниципальных правовых актов Ягодного сельского поселения в области налогообложения;</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повышение эффективности администрирования налогов.</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Для решения поставленных задач администрацией Ягодного сельского поселения будет продолжено 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lastRenderedPageBreak/>
        <w:t>Для своевременного исполнения физическими лицами обязанностей по уплате имущественных налогов традиционно будет проведена информационная кампания по информированию граждан о сроках уплаты имущественных налогов.</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p>
    <w:p w:rsidR="00282574" w:rsidRPr="00282574" w:rsidRDefault="00282574" w:rsidP="00282574">
      <w:pPr>
        <w:spacing w:after="0" w:line="240" w:lineRule="auto"/>
        <w:ind w:firstLine="708"/>
        <w:jc w:val="center"/>
        <w:rPr>
          <w:rFonts w:ascii="Times New Roman" w:eastAsia="Calibri" w:hAnsi="Times New Roman" w:cs="Times New Roman"/>
          <w:sz w:val="26"/>
          <w:szCs w:val="26"/>
        </w:rPr>
      </w:pPr>
      <w:r w:rsidRPr="00282574">
        <w:rPr>
          <w:rFonts w:ascii="Times New Roman" w:eastAsia="Calibri" w:hAnsi="Times New Roman" w:cs="Times New Roman"/>
          <w:sz w:val="26"/>
          <w:szCs w:val="26"/>
        </w:rPr>
        <w:t>Основные направления бюджетной политики</w:t>
      </w:r>
    </w:p>
    <w:p w:rsidR="00282574" w:rsidRPr="00282574" w:rsidRDefault="00282574" w:rsidP="00282574">
      <w:pPr>
        <w:spacing w:after="0" w:line="240" w:lineRule="auto"/>
        <w:ind w:firstLine="708"/>
        <w:jc w:val="center"/>
        <w:rPr>
          <w:rFonts w:ascii="Times New Roman" w:eastAsia="Calibri" w:hAnsi="Times New Roman" w:cs="Times New Roman"/>
          <w:sz w:val="26"/>
          <w:szCs w:val="26"/>
        </w:rPr>
      </w:pP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Основными направлениями бюджетной политики Ягодного сельского поселения на 2023 год и плановый период 2024-2025 годы являются:</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обеспечение сбалансированности доходных источников и расходных обязательств местного бюджета;</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соблюдение предельных значений, установленных Бюджетным кодексом Российской Федерации;</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закрепление положительных результатов, достигнутых при формировании и исполнении местного бюджета за предыдущие годы;</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безусловное исполнение принятых расходных обязательств;</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установление приоритетных направлений расходов местного бюджета;</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сохранение социальной направленности;</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минимизация кредиторской задолженности;</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взвешенный подход к увеличению и принятию новых расходных обязательств;</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организация и подготовка проведения мероприятий по повышению экономичности и результативности использования бюджетных средств, сокращению неэффективных расходов;</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формирование местного бюджета с учетом использования программно-целевых методов бюджетного планирования;</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повышение эффективности управления остатками средств на едином счете местного бюджета в территориальном управлении Федерального казначейства;</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усиление муниципального финансового контроля, а также финансового аудита главных распорядителей и администраторов бюджетных средств;</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прозрачность и открытость бюджетного процесса, возможность участия граждан и общественных организаций в формировании местного бюджета;</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соблюдение законодательства Российской Федерации о контрактной системе в сфере закупок товаров, работ, услуг для обеспечения муниципальных нужд.</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xml:space="preserve">Увеличение расходов на оплату труда муниципальных служащих и работников администрации Ягодного сельского поселения производится с учетом возможностей местного бюджета и требований законодательства Российской Федерации. </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xml:space="preserve">Разработка и реализация муниципальных программ осуществляется в соответствии с приоритетными направлениями социально-экономического развития Ягодного сельского поселения с учетом оценки результатов их реализации, привлечения внебюджетных источников для софинансирования программных мероприятий. Более 70% расходов местного бюджета ежегодно направляется в рамках реализации муниципальных программ. В предстоящем периоде продолжится работа по повышению качества и эффективности реализации муниципальных </w:t>
      </w:r>
      <w:r w:rsidRPr="00282574">
        <w:rPr>
          <w:rFonts w:ascii="Times New Roman" w:eastAsia="Calibri" w:hAnsi="Times New Roman" w:cs="Times New Roman"/>
          <w:sz w:val="26"/>
          <w:szCs w:val="26"/>
        </w:rPr>
        <w:lastRenderedPageBreak/>
        <w:t xml:space="preserve">программ как основного инструмента бюджетного планирования и операционного управления. </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 xml:space="preserve">В сфере дорожного хозяйства продолжится реализация мероприятий, направленных на повышение уровня содержания автомобильных дорог и улучшение их технического состояния, обеспечение безопасности движения. Приоритетными направлениями расходов муниципального дорожного фонда остаются расходы на содержание улично-дорожной сети, производство планово-предупредительного, текущего и капитального ремонта автомобильных дорог. </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В сфере жилищно-коммунального хозяйства продолжится реализация мероприятий по развитию коммунальной инфраструктуры, благоустройству территории Ягодного сельского поселения.</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Одним из направлений бюджетной политики Ягодного сельского поселения является задача обеспечения прозрачности (открытости), понятности и доступности данных для населения по вопросам финансово-бюджетной сферы.</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Для решения задачи продолжится размещение информационно-разъяснительных материалов на всех стадиях бюджетного процесса Ягодного сельского поселения на официальном сайте Ягодного сельского поселения в информационно-телекоммуникационной сети «Интернет» и в «Информационном бюллетене», обеспечивающей актуальность основных сведений о местном бюджете и его исполнении.</w:t>
      </w:r>
    </w:p>
    <w:p w:rsidR="00282574" w:rsidRPr="00282574" w:rsidRDefault="00282574" w:rsidP="00282574">
      <w:pPr>
        <w:spacing w:after="0" w:line="240" w:lineRule="auto"/>
        <w:ind w:firstLine="708"/>
        <w:jc w:val="both"/>
        <w:rPr>
          <w:rFonts w:ascii="Times New Roman" w:eastAsia="Calibri" w:hAnsi="Times New Roman" w:cs="Times New Roman"/>
          <w:sz w:val="26"/>
          <w:szCs w:val="26"/>
        </w:rPr>
      </w:pPr>
      <w:r w:rsidRPr="00282574">
        <w:rPr>
          <w:rFonts w:ascii="Times New Roman" w:eastAsia="Calibri" w:hAnsi="Times New Roman" w:cs="Times New Roman"/>
          <w:sz w:val="26"/>
          <w:szCs w:val="26"/>
        </w:rPr>
        <w:t>Результатом проведения бюджетной политики должно стать исполнение принятых расходных обязательств, обеспечение оптимальной долговой нагрузки, создание механизмов и условий для оценки нормативно-правового регулирования и методического обеспечения бюджетного процесса.</w:t>
      </w:r>
      <w:r w:rsidRPr="00282574">
        <w:rPr>
          <w:rFonts w:ascii="Times New Roman" w:eastAsia="Calibri" w:hAnsi="Times New Roman" w:cs="Times New Roman"/>
          <w:sz w:val="26"/>
          <w:szCs w:val="26"/>
        </w:rPr>
        <w:cr/>
      </w:r>
    </w:p>
    <w:p w:rsidR="00282574" w:rsidRPr="00282574" w:rsidRDefault="00282574" w:rsidP="00282574">
      <w:pPr>
        <w:spacing w:after="0" w:line="240" w:lineRule="auto"/>
        <w:jc w:val="center"/>
        <w:rPr>
          <w:rFonts w:ascii="Times New Roman" w:eastAsia="Times New Roman" w:hAnsi="Times New Roman" w:cs="Times New Roman"/>
          <w:b/>
          <w:sz w:val="26"/>
          <w:szCs w:val="26"/>
          <w:lang w:eastAsia="ru-RU"/>
        </w:rPr>
      </w:pPr>
      <w:r w:rsidRPr="00282574">
        <w:rPr>
          <w:rFonts w:ascii="Times New Roman" w:eastAsia="Times New Roman" w:hAnsi="Times New Roman" w:cs="Times New Roman"/>
          <w:b/>
          <w:sz w:val="26"/>
          <w:szCs w:val="26"/>
          <w:lang w:eastAsia="ru-RU"/>
        </w:rPr>
        <w:t>ПОСТАНОВЛЕНИЕ</w:t>
      </w: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01.11.2022                                                       </w:t>
      </w:r>
      <w:r>
        <w:rPr>
          <w:rFonts w:ascii="Times New Roman" w:eastAsia="Times New Roman" w:hAnsi="Times New Roman" w:cs="Times New Roman"/>
          <w:sz w:val="26"/>
          <w:szCs w:val="26"/>
          <w:lang w:eastAsia="ru-RU"/>
        </w:rPr>
        <w:t xml:space="preserve">                             </w:t>
      </w:r>
      <w:r w:rsidRPr="00282574">
        <w:rPr>
          <w:rFonts w:ascii="Times New Roman" w:eastAsia="Times New Roman" w:hAnsi="Times New Roman" w:cs="Times New Roman"/>
          <w:sz w:val="26"/>
          <w:szCs w:val="26"/>
          <w:lang w:eastAsia="ru-RU"/>
        </w:rPr>
        <w:t xml:space="preserve">                           № 102/2 </w:t>
      </w: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center"/>
        <w:rPr>
          <w:rFonts w:ascii="Times New Roman" w:eastAsia="Times New Roman" w:hAnsi="Times New Roman" w:cs="Times New Roman"/>
          <w:bCs/>
          <w:sz w:val="26"/>
          <w:szCs w:val="26"/>
          <w:lang w:eastAsia="ru-RU"/>
        </w:rPr>
      </w:pPr>
      <w:r w:rsidRPr="00282574">
        <w:rPr>
          <w:rFonts w:ascii="Times New Roman" w:eastAsia="Times New Roman" w:hAnsi="Times New Roman" w:cs="Times New Roman"/>
          <w:bCs/>
          <w:sz w:val="26"/>
          <w:szCs w:val="26"/>
          <w:lang w:eastAsia="ru-RU"/>
        </w:rPr>
        <w:t>Об утверждении среднесрочного финансового плана на 2023 год и плановый период 2024-2025 годы</w:t>
      </w: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В соответствии со статьей 174 Бюджетного кодекса Российской Федерации, на основании Положения о бюджетном процессе в муниципальном образовании «Ягодное сельское поселение Асиновского района Томской области», руководствуясь Уставом Ягодного сельского поселения Асиновского района Томской области</w:t>
      </w: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ПОСТАНОВЛЯЮ:</w:t>
      </w: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1. Утвердить среднесрочный финансовый план на 2023 год и плановый период 2024-2025 годы согласно приложению к настоящему постановлению.</w:t>
      </w: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2.</w:t>
      </w:r>
      <w:r w:rsidRPr="00282574">
        <w:rPr>
          <w:rFonts w:ascii="Times New Roman" w:eastAsia="Times New Roman" w:hAnsi="Times New Roman" w:cs="Times New Roman"/>
          <w:sz w:val="26"/>
          <w:szCs w:val="26"/>
          <w:lang w:eastAsia="ru-RU"/>
        </w:rPr>
        <w:tab/>
        <w:t>Направить среднесрочный финансовый план муниципального образования «Ягодное сельское поселение Асиновского района Томской области» в Совет Ягодного сельского поселения в составе документов и материалов, предоставляемых одновременно с проектом бюджета на 2023 год плановый период 2024-2025 года.</w:t>
      </w:r>
    </w:p>
    <w:p w:rsidR="00282574" w:rsidRPr="00282574" w:rsidRDefault="00282574" w:rsidP="00282574">
      <w:pPr>
        <w:spacing w:after="0" w:line="240" w:lineRule="auto"/>
        <w:ind w:firstLine="708"/>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282574" w:rsidRPr="00282574" w:rsidRDefault="00282574" w:rsidP="00282574">
      <w:pPr>
        <w:spacing w:after="0" w:line="240" w:lineRule="auto"/>
        <w:jc w:val="both"/>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lastRenderedPageBreak/>
        <w:t>Глава Ягодного сельского поселения                                                               Г.И. Баранов</w:t>
      </w:r>
    </w:p>
    <w:p w:rsidR="00282574" w:rsidRPr="00282574" w:rsidRDefault="00282574" w:rsidP="00282574">
      <w:pPr>
        <w:spacing w:after="0" w:line="240" w:lineRule="auto"/>
        <w:jc w:val="both"/>
        <w:rPr>
          <w:rFonts w:ascii="Times New Roman" w:eastAsia="Times New Roman" w:hAnsi="Times New Roman" w:cs="Times New Roman"/>
          <w:sz w:val="26"/>
          <w:szCs w:val="26"/>
          <w:lang w:eastAsia="ru-RU"/>
        </w:rPr>
      </w:pPr>
    </w:p>
    <w:p w:rsidR="00282574" w:rsidRPr="00282574" w:rsidRDefault="00282574" w:rsidP="00282574">
      <w:pPr>
        <w:spacing w:after="0" w:line="240" w:lineRule="auto"/>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right"/>
        <w:rPr>
          <w:rFonts w:ascii="Times New Roman" w:eastAsia="Times New Roman" w:hAnsi="Times New Roman" w:cs="Times New Roman"/>
          <w:sz w:val="26"/>
          <w:szCs w:val="26"/>
          <w:lang w:eastAsia="ru-RU"/>
        </w:rPr>
      </w:pP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Приложение </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УТВЕРЖДЕН</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 постановлением Администрации</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 Ягодного сельского поселения </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 xml:space="preserve"> от 01.11.2022 № 102/2</w:t>
      </w:r>
    </w:p>
    <w:p w:rsidR="00282574" w:rsidRPr="00282574" w:rsidRDefault="00282574" w:rsidP="00282574">
      <w:pPr>
        <w:spacing w:after="0" w:line="240" w:lineRule="auto"/>
        <w:ind w:firstLine="4820"/>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Среднесрочный финансовый план</w:t>
      </w: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муниципального образования «Ягодное сельское поселение Асиновского района Томской области» на 2023 год и плановый период 2024-2025 годы</w:t>
      </w: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Основные параметры среднесрочного финансового плана муниципального образования «Ягодное сельское поселение Асиновского района Томской области» на 2023-2025 годы</w:t>
      </w: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tbl>
      <w:tblPr>
        <w:tblStyle w:val="a5"/>
        <w:tblW w:w="5000" w:type="pct"/>
        <w:tblLook w:val="04A0" w:firstRow="1" w:lastRow="0" w:firstColumn="1" w:lastColumn="0" w:noHBand="0" w:noVBand="1"/>
      </w:tblPr>
      <w:tblGrid>
        <w:gridCol w:w="660"/>
        <w:gridCol w:w="3078"/>
        <w:gridCol w:w="1869"/>
        <w:gridCol w:w="1869"/>
        <w:gridCol w:w="1869"/>
      </w:tblGrid>
      <w:tr w:rsidR="00282574" w:rsidRPr="00282574" w:rsidTr="00282574">
        <w:trPr>
          <w:trHeight w:val="300"/>
        </w:trPr>
        <w:tc>
          <w:tcPr>
            <w:tcW w:w="353" w:type="pct"/>
            <w:vMerge w:val="restar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 п/п</w:t>
            </w:r>
          </w:p>
        </w:tc>
        <w:tc>
          <w:tcPr>
            <w:tcW w:w="1647" w:type="pct"/>
            <w:vMerge w:val="restar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Параметры</w:t>
            </w:r>
          </w:p>
        </w:tc>
        <w:tc>
          <w:tcPr>
            <w:tcW w:w="1000" w:type="pct"/>
            <w:vMerge w:val="restar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Очередной финансовый год</w:t>
            </w:r>
          </w:p>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2023 год</w:t>
            </w:r>
          </w:p>
        </w:tc>
        <w:tc>
          <w:tcPr>
            <w:tcW w:w="2000" w:type="pct"/>
            <w:gridSpan w:val="2"/>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Плановый период</w:t>
            </w:r>
          </w:p>
        </w:tc>
      </w:tr>
      <w:tr w:rsidR="00282574" w:rsidRPr="00282574" w:rsidTr="00282574">
        <w:trPr>
          <w:trHeight w:val="255"/>
        </w:trPr>
        <w:tc>
          <w:tcPr>
            <w:tcW w:w="353" w:type="pct"/>
            <w:vMerge/>
          </w:tcPr>
          <w:p w:rsidR="00282574" w:rsidRPr="00282574" w:rsidRDefault="00282574" w:rsidP="00282574">
            <w:pPr>
              <w:jc w:val="center"/>
              <w:rPr>
                <w:rFonts w:ascii="Times New Roman" w:eastAsia="Times New Roman" w:hAnsi="Times New Roman" w:cs="Times New Roman"/>
                <w:b/>
                <w:sz w:val="20"/>
                <w:szCs w:val="20"/>
                <w:lang w:eastAsia="ru-RU"/>
              </w:rPr>
            </w:pPr>
          </w:p>
        </w:tc>
        <w:tc>
          <w:tcPr>
            <w:tcW w:w="1647" w:type="pct"/>
            <w:vMerge/>
          </w:tcPr>
          <w:p w:rsidR="00282574" w:rsidRPr="00282574" w:rsidRDefault="00282574" w:rsidP="00282574">
            <w:pPr>
              <w:jc w:val="center"/>
              <w:rPr>
                <w:rFonts w:ascii="Times New Roman" w:eastAsia="Times New Roman" w:hAnsi="Times New Roman" w:cs="Times New Roman"/>
                <w:b/>
                <w:sz w:val="20"/>
                <w:szCs w:val="20"/>
                <w:lang w:eastAsia="ru-RU"/>
              </w:rPr>
            </w:pPr>
          </w:p>
        </w:tc>
        <w:tc>
          <w:tcPr>
            <w:tcW w:w="1000" w:type="pct"/>
            <w:vMerge/>
          </w:tcPr>
          <w:p w:rsidR="00282574" w:rsidRPr="00282574" w:rsidRDefault="00282574" w:rsidP="00282574">
            <w:pPr>
              <w:jc w:val="center"/>
              <w:rPr>
                <w:rFonts w:ascii="Times New Roman" w:eastAsia="Times New Roman" w:hAnsi="Times New Roman" w:cs="Times New Roman"/>
                <w:b/>
                <w:sz w:val="20"/>
                <w:szCs w:val="20"/>
                <w:lang w:eastAsia="ru-RU"/>
              </w:rPr>
            </w:pPr>
          </w:p>
        </w:tc>
        <w:tc>
          <w:tcPr>
            <w:tcW w:w="1000" w:type="pc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Первый год</w:t>
            </w:r>
          </w:p>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2024 год</w:t>
            </w:r>
          </w:p>
        </w:tc>
        <w:tc>
          <w:tcPr>
            <w:tcW w:w="1000" w:type="pc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Второй год</w:t>
            </w:r>
          </w:p>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2025 год</w:t>
            </w:r>
          </w:p>
        </w:tc>
      </w:tr>
      <w:tr w:rsidR="00282574" w:rsidRPr="00282574" w:rsidTr="00282574">
        <w:tc>
          <w:tcPr>
            <w:tcW w:w="353" w:type="pc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1</w:t>
            </w:r>
          </w:p>
        </w:tc>
        <w:tc>
          <w:tcPr>
            <w:tcW w:w="1647" w:type="pc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2</w:t>
            </w:r>
          </w:p>
        </w:tc>
        <w:tc>
          <w:tcPr>
            <w:tcW w:w="1000" w:type="pc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3</w:t>
            </w:r>
          </w:p>
        </w:tc>
        <w:tc>
          <w:tcPr>
            <w:tcW w:w="1000" w:type="pc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4</w:t>
            </w:r>
          </w:p>
        </w:tc>
        <w:tc>
          <w:tcPr>
            <w:tcW w:w="1000" w:type="pct"/>
          </w:tcPr>
          <w:p w:rsidR="00282574" w:rsidRPr="00282574" w:rsidRDefault="00282574" w:rsidP="00282574">
            <w:pPr>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5</w:t>
            </w: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w:t>
            </w: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Прогнозируемый общий объем доходов</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11 092 830,00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10 191 920,00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10 324 320,00</w:t>
            </w: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в том числе:</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налоговые и неналоговые доходы</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5 754 520,00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6 071 000,00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6 184 000,00</w:t>
            </w: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безвозмездные поступления, в том числе:</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5 338 310,00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4 120 920,00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4 140 320,00</w:t>
            </w: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дотации на выравнивание бюджетной обеспеченности</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4 053 000,00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4 120 920,00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4 140 320,00</w:t>
            </w: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1 238 390,00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0,00</w:t>
            </w: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w:t>
            </w: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Прогнозируемый общий объем расходов</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11 092 830,00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10 191 920,00</w:t>
            </w:r>
          </w:p>
        </w:tc>
        <w:tc>
          <w:tcPr>
            <w:tcW w:w="1000" w:type="pct"/>
          </w:tcPr>
          <w:p w:rsidR="00282574" w:rsidRPr="00282574" w:rsidRDefault="00282574" w:rsidP="00282574">
            <w:pPr>
              <w:jc w:val="center"/>
              <w:rPr>
                <w:rFonts w:ascii="Times New Roman" w:eastAsia="Calibri" w:hAnsi="Times New Roman" w:cs="Times New Roman"/>
                <w:bCs/>
                <w:color w:val="000000"/>
                <w:sz w:val="20"/>
                <w:szCs w:val="20"/>
              </w:rPr>
            </w:pPr>
            <w:r w:rsidRPr="00282574">
              <w:rPr>
                <w:rFonts w:ascii="Times New Roman" w:eastAsia="Calibri" w:hAnsi="Times New Roman" w:cs="Times New Roman"/>
                <w:bCs/>
                <w:color w:val="000000"/>
                <w:sz w:val="20"/>
                <w:szCs w:val="20"/>
              </w:rPr>
              <w:t>10 324 320,00</w:t>
            </w: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3</w:t>
            </w: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Дефицит (+), профицит (-)</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0,00</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0,00</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0,00</w:t>
            </w:r>
          </w:p>
        </w:tc>
      </w:tr>
      <w:tr w:rsidR="00282574" w:rsidRPr="00282574" w:rsidTr="00282574">
        <w:tc>
          <w:tcPr>
            <w:tcW w:w="353"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4</w:t>
            </w:r>
          </w:p>
        </w:tc>
        <w:tc>
          <w:tcPr>
            <w:tcW w:w="1647" w:type="pct"/>
          </w:tcPr>
          <w:p w:rsidR="00282574" w:rsidRPr="00282574" w:rsidRDefault="00282574" w:rsidP="00282574">
            <w:pP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0,00</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0,00</w:t>
            </w:r>
          </w:p>
        </w:tc>
        <w:tc>
          <w:tcPr>
            <w:tcW w:w="1000" w:type="pct"/>
          </w:tcPr>
          <w:p w:rsidR="00282574" w:rsidRPr="00282574" w:rsidRDefault="00282574" w:rsidP="00282574">
            <w:pPr>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0,00</w:t>
            </w:r>
          </w:p>
        </w:tc>
      </w:tr>
    </w:tbl>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r w:rsidRPr="00282574">
        <w:rPr>
          <w:rFonts w:ascii="Times New Roman" w:eastAsia="Times New Roman" w:hAnsi="Times New Roman" w:cs="Times New Roman"/>
          <w:sz w:val="26"/>
          <w:szCs w:val="26"/>
          <w:lang w:eastAsia="ru-RU"/>
        </w:rPr>
        <w:t>Объем бюджетных ассигнований по главному распорядителю бюджетных средств по разделам, подразделам, целевым статьям и видам расходов классификации расходов бюджета муниципального образования «Ягодное сельское поселение Асиновского района Томской области»</w:t>
      </w:r>
    </w:p>
    <w:tbl>
      <w:tblPr>
        <w:tblpPr w:leftFromText="180" w:rightFromText="180" w:vertAnchor="text" w:horzAnchor="margin" w:tblpXSpec="center" w:tblpY="322"/>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820"/>
        <w:gridCol w:w="539"/>
        <w:gridCol w:w="538"/>
        <w:gridCol w:w="1212"/>
        <w:gridCol w:w="541"/>
        <w:gridCol w:w="1347"/>
        <w:gridCol w:w="1349"/>
        <w:gridCol w:w="1311"/>
      </w:tblGrid>
      <w:tr w:rsidR="00282574" w:rsidRPr="00282574" w:rsidTr="00311D46">
        <w:trPr>
          <w:trHeight w:val="279"/>
        </w:trPr>
        <w:tc>
          <w:tcPr>
            <w:tcW w:w="969" w:type="pct"/>
            <w:vMerge w:val="restar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 xml:space="preserve">Наименование главных распорядителей (распорядителей) </w:t>
            </w:r>
            <w:r w:rsidRPr="00282574">
              <w:rPr>
                <w:rFonts w:ascii="Times New Roman" w:eastAsia="Times New Roman" w:hAnsi="Times New Roman" w:cs="Times New Roman"/>
                <w:sz w:val="20"/>
                <w:szCs w:val="20"/>
                <w:lang w:eastAsia="ru-RU"/>
              </w:rPr>
              <w:lastRenderedPageBreak/>
              <w:t>средств местного бюджета</w:t>
            </w:r>
          </w:p>
        </w:tc>
        <w:tc>
          <w:tcPr>
            <w:tcW w:w="432" w:type="pct"/>
            <w:vMerge w:val="restar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Код главного распор</w:t>
            </w:r>
            <w:r w:rsidRPr="00282574">
              <w:rPr>
                <w:rFonts w:ascii="Times New Roman" w:eastAsia="Times New Roman" w:hAnsi="Times New Roman" w:cs="Times New Roman"/>
                <w:sz w:val="20"/>
                <w:szCs w:val="20"/>
                <w:lang w:eastAsia="ru-RU"/>
              </w:rPr>
              <w:lastRenderedPageBreak/>
              <w:t>ядителя (распорядителя)</w:t>
            </w:r>
          </w:p>
        </w:tc>
        <w:tc>
          <w:tcPr>
            <w:tcW w:w="284" w:type="pct"/>
            <w:vMerge w:val="restar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Раздел</w:t>
            </w:r>
          </w:p>
        </w:tc>
        <w:tc>
          <w:tcPr>
            <w:tcW w:w="283" w:type="pct"/>
            <w:vMerge w:val="restar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Подраздел</w:t>
            </w:r>
          </w:p>
        </w:tc>
        <w:tc>
          <w:tcPr>
            <w:tcW w:w="638" w:type="pct"/>
            <w:vMerge w:val="restar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Целевая статья</w:t>
            </w:r>
          </w:p>
        </w:tc>
        <w:tc>
          <w:tcPr>
            <w:tcW w:w="285" w:type="pct"/>
            <w:vMerge w:val="restar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Вид рас</w:t>
            </w:r>
            <w:r w:rsidRPr="00282574">
              <w:rPr>
                <w:rFonts w:ascii="Times New Roman" w:eastAsia="Times New Roman" w:hAnsi="Times New Roman" w:cs="Times New Roman"/>
                <w:sz w:val="20"/>
                <w:szCs w:val="20"/>
                <w:lang w:eastAsia="ru-RU"/>
              </w:rPr>
              <w:lastRenderedPageBreak/>
              <w:t>ходов</w:t>
            </w:r>
          </w:p>
        </w:tc>
        <w:tc>
          <w:tcPr>
            <w:tcW w:w="709" w:type="pct"/>
            <w:vMerge w:val="restar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Очередной финансовый год</w:t>
            </w:r>
          </w:p>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2023 год</w:t>
            </w:r>
          </w:p>
        </w:tc>
        <w:tc>
          <w:tcPr>
            <w:tcW w:w="1400" w:type="pct"/>
            <w:gridSpan w:val="2"/>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Плановый период</w:t>
            </w:r>
          </w:p>
        </w:tc>
      </w:tr>
      <w:tr w:rsidR="00282574" w:rsidRPr="00282574" w:rsidTr="00311D46">
        <w:trPr>
          <w:trHeight w:val="275"/>
        </w:trPr>
        <w:tc>
          <w:tcPr>
            <w:tcW w:w="969" w:type="pct"/>
            <w:vMerge/>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432" w:type="pct"/>
            <w:vMerge/>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4" w:type="pct"/>
            <w:vMerge/>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3" w:type="pct"/>
            <w:vMerge/>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638" w:type="pct"/>
            <w:vMerge/>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vMerge/>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vMerge/>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10"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Первый год</w:t>
            </w:r>
          </w:p>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2024 год</w:t>
            </w:r>
          </w:p>
        </w:tc>
        <w:tc>
          <w:tcPr>
            <w:tcW w:w="690"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Второй год</w:t>
            </w:r>
          </w:p>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2025 год</w:t>
            </w:r>
          </w:p>
        </w:tc>
      </w:tr>
      <w:tr w:rsidR="00282574" w:rsidRPr="00282574" w:rsidTr="00311D46">
        <w:trPr>
          <w:trHeight w:val="144"/>
        </w:trPr>
        <w:tc>
          <w:tcPr>
            <w:tcW w:w="969" w:type="pct"/>
          </w:tcPr>
          <w:p w:rsidR="00282574" w:rsidRPr="00282574" w:rsidRDefault="00282574" w:rsidP="00282574">
            <w:pPr>
              <w:spacing w:after="0" w:line="240" w:lineRule="auto"/>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lastRenderedPageBreak/>
              <w:t>Всего</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p>
        </w:tc>
        <w:tc>
          <w:tcPr>
            <w:tcW w:w="284"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p>
        </w:tc>
        <w:tc>
          <w:tcPr>
            <w:tcW w:w="283"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p>
        </w:tc>
        <w:tc>
          <w:tcPr>
            <w:tcW w:w="638"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p>
        </w:tc>
        <w:tc>
          <w:tcPr>
            <w:tcW w:w="709" w:type="pct"/>
          </w:tcPr>
          <w:p w:rsidR="00282574" w:rsidRPr="00282574" w:rsidRDefault="00282574" w:rsidP="00282574">
            <w:pPr>
              <w:spacing w:after="0" w:line="240" w:lineRule="auto"/>
              <w:jc w:val="right"/>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11 092 830,00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bCs/>
                <w:color w:val="000000"/>
                <w:sz w:val="20"/>
                <w:szCs w:val="20"/>
              </w:rPr>
            </w:pPr>
            <w:r w:rsidRPr="00282574">
              <w:rPr>
                <w:rFonts w:ascii="Times New Roman" w:eastAsia="Calibri" w:hAnsi="Times New Roman" w:cs="Times New Roman"/>
                <w:b/>
                <w:bCs/>
                <w:color w:val="000000"/>
                <w:sz w:val="20"/>
                <w:szCs w:val="20"/>
              </w:rPr>
              <w:t>10 191 920,00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bCs/>
                <w:color w:val="000000"/>
                <w:sz w:val="20"/>
                <w:szCs w:val="20"/>
              </w:rPr>
            </w:pPr>
            <w:r w:rsidRPr="00282574">
              <w:rPr>
                <w:rFonts w:ascii="Times New Roman" w:eastAsia="Calibri" w:hAnsi="Times New Roman" w:cs="Times New Roman"/>
                <w:b/>
                <w:bCs/>
                <w:color w:val="000000"/>
                <w:sz w:val="20"/>
                <w:szCs w:val="20"/>
              </w:rPr>
              <w:t>10 324 320,00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Администрация Ягодного сельского поселения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p>
        </w:tc>
        <w:tc>
          <w:tcPr>
            <w:tcW w:w="283"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p>
        </w:tc>
        <w:tc>
          <w:tcPr>
            <w:tcW w:w="638" w:type="pct"/>
          </w:tcPr>
          <w:p w:rsidR="00282574" w:rsidRPr="00282574" w:rsidRDefault="00282574" w:rsidP="00282574">
            <w:pPr>
              <w:spacing w:after="0" w:line="240" w:lineRule="auto"/>
              <w:jc w:val="center"/>
              <w:rPr>
                <w:rFonts w:ascii="Times New Roman" w:eastAsia="Times New Roman" w:hAnsi="Times New Roman" w:cs="Times New Roman"/>
                <w:b/>
                <w:sz w:val="20"/>
                <w:szCs w:val="20"/>
                <w:lang w:eastAsia="ru-RU"/>
              </w:rPr>
            </w:pPr>
          </w:p>
        </w:tc>
        <w:tc>
          <w:tcPr>
            <w:tcW w:w="285" w:type="pct"/>
          </w:tcPr>
          <w:p w:rsidR="00282574" w:rsidRPr="00282574" w:rsidRDefault="00282574" w:rsidP="00282574">
            <w:pPr>
              <w:spacing w:after="0" w:line="240" w:lineRule="auto"/>
              <w:ind w:left="-224" w:firstLine="224"/>
              <w:jc w:val="center"/>
              <w:rPr>
                <w:rFonts w:ascii="Times New Roman" w:eastAsia="Times New Roman" w:hAnsi="Times New Roman" w:cs="Times New Roman"/>
                <w:b/>
                <w:sz w:val="20"/>
                <w:szCs w:val="20"/>
                <w:lang w:eastAsia="ru-RU"/>
              </w:rPr>
            </w:pPr>
          </w:p>
        </w:tc>
        <w:tc>
          <w:tcPr>
            <w:tcW w:w="709" w:type="pct"/>
          </w:tcPr>
          <w:p w:rsidR="00282574" w:rsidRPr="00282574" w:rsidRDefault="00282574" w:rsidP="00282574">
            <w:pPr>
              <w:spacing w:after="0" w:line="240" w:lineRule="auto"/>
              <w:jc w:val="right"/>
              <w:rPr>
                <w:rFonts w:ascii="Times New Roman" w:eastAsia="Times New Roman" w:hAnsi="Times New Roman" w:cs="Times New Roman"/>
                <w:b/>
                <w:sz w:val="20"/>
                <w:szCs w:val="20"/>
                <w:lang w:eastAsia="ru-RU"/>
              </w:rPr>
            </w:pPr>
            <w:r w:rsidRPr="00282574">
              <w:rPr>
                <w:rFonts w:ascii="Times New Roman" w:eastAsia="Times New Roman" w:hAnsi="Times New Roman" w:cs="Times New Roman"/>
                <w:b/>
                <w:sz w:val="20"/>
                <w:szCs w:val="20"/>
                <w:lang w:eastAsia="ru-RU"/>
              </w:rPr>
              <w:t>11 092 830,00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bCs/>
                <w:color w:val="000000"/>
                <w:sz w:val="20"/>
                <w:szCs w:val="20"/>
              </w:rPr>
            </w:pPr>
            <w:r w:rsidRPr="00282574">
              <w:rPr>
                <w:rFonts w:ascii="Times New Roman" w:eastAsia="Calibri" w:hAnsi="Times New Roman" w:cs="Times New Roman"/>
                <w:b/>
                <w:bCs/>
                <w:color w:val="000000"/>
                <w:sz w:val="20"/>
                <w:szCs w:val="20"/>
              </w:rPr>
              <w:t>10 191 920,00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bCs/>
                <w:color w:val="000000"/>
                <w:sz w:val="20"/>
                <w:szCs w:val="20"/>
              </w:rPr>
            </w:pPr>
            <w:r w:rsidRPr="00282574">
              <w:rPr>
                <w:rFonts w:ascii="Times New Roman" w:eastAsia="Calibri" w:hAnsi="Times New Roman" w:cs="Times New Roman"/>
                <w:b/>
                <w:bCs/>
                <w:color w:val="000000"/>
                <w:sz w:val="20"/>
                <w:szCs w:val="20"/>
              </w:rPr>
              <w:t>10 324 320,00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Общегосударственные вопросы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7 331 830,00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7 024 920,00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6 984 320,00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Непрограммное направление расходов</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Прочие непрограммные</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Глава поселения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6500200100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6500200100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833 300,00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Непрограммное направление расходов</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Прочие непрограммные</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Другие общегосударственные вопросы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6500200600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6500200600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5 058 430,00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4 804 338,00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4 764 338,00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5 058 430,00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3 735 438,00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3 735 438,00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5 058 430,00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3 735 438,00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3 735 438,00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5050100000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3 735 438,00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3 735 438,00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3 735 438,00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5050101000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3 735 438,00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3 735 438,00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3 735 438,00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82574">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5050101000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3 735 438,00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3 735 438,00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3 735 438,00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Мероприятие «Расходы связанные с муниципальной деятельностью»</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5050102000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1 322 992,00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1 068 900,00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1 028 900,00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5050102000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1 299 992,00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1 045 900,00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1 005 900,00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Иные бюджетные ассигнования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5050102000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800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23 000,00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23 000,00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23 000,00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06</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26 900,00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26 900,00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26 900,00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06</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26 900,00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b/>
                <w:sz w:val="20"/>
                <w:szCs w:val="20"/>
              </w:rPr>
              <w:t>26 900,00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b/>
                <w:sz w:val="20"/>
                <w:szCs w:val="20"/>
              </w:rPr>
              <w:t>26 900,00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06</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26 900,00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26 900,00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26 900,00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28257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06</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5050200000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26 900,00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26 900,00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26 900,00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282574">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06</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5050201000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26 900,00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26 900,00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26 900,00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282574">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06</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5050201000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26 900,00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26 900,00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26 900,00</w:t>
            </w:r>
          </w:p>
        </w:tc>
      </w:tr>
      <w:tr w:rsidR="00282574" w:rsidRPr="00282574" w:rsidTr="00311D46">
        <w:trPr>
          <w:trHeight w:val="52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Резервные фонды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30 000,00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30 000,00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30 000,00</w:t>
            </w:r>
          </w:p>
        </w:tc>
      </w:tr>
      <w:tr w:rsidR="00282574" w:rsidRPr="00282574" w:rsidTr="00311D46">
        <w:trPr>
          <w:trHeight w:val="278"/>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Непрограммное направление расходов</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30 000,00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30 000,00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30 000,00</w:t>
            </w:r>
          </w:p>
        </w:tc>
      </w:tr>
      <w:tr w:rsidR="00282574" w:rsidRPr="00282574" w:rsidTr="00311D46">
        <w:trPr>
          <w:trHeight w:val="278"/>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Резервный фонд местной администрации</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6500100000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30 000,00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30 000,00</w:t>
            </w:r>
          </w:p>
        </w:tc>
      </w:tr>
      <w:tr w:rsidR="00282574" w:rsidRPr="00282574" w:rsidTr="00311D46">
        <w:trPr>
          <w:trHeight w:val="278"/>
        </w:trPr>
        <w:tc>
          <w:tcPr>
            <w:tcW w:w="969" w:type="pct"/>
          </w:tcPr>
          <w:p w:rsidR="00282574" w:rsidRPr="00282574" w:rsidRDefault="00282574" w:rsidP="00282574">
            <w:pPr>
              <w:spacing w:after="0" w:line="240" w:lineRule="auto"/>
              <w:jc w:val="both"/>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Иные бюджетные ассигнования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6500100000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800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30 000,00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Другие общегосударственные вопросы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1 377 200,00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1 324 382,00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1 323 782,00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67 200,00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26 400,00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26 400,00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Calibri" w:hAnsi="Times New Roman" w:cs="Times New Roman"/>
                <w:sz w:val="20"/>
                <w:szCs w:val="20"/>
              </w:rPr>
            </w:pPr>
            <w:r w:rsidRPr="00282574">
              <w:rPr>
                <w:rFonts w:ascii="Times New Roman" w:eastAsia="Calibri" w:hAnsi="Times New Roman" w:cs="Times New Roman"/>
                <w:sz w:val="20"/>
                <w:szCs w:val="20"/>
              </w:rPr>
              <w:t>Подпрограмма «Развитие социальной инфраструктуры»</w:t>
            </w:r>
          </w:p>
        </w:tc>
        <w:tc>
          <w:tcPr>
            <w:tcW w:w="432"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908</w:t>
            </w:r>
          </w:p>
        </w:tc>
        <w:tc>
          <w:tcPr>
            <w:tcW w:w="284"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01</w:t>
            </w:r>
          </w:p>
        </w:tc>
        <w:tc>
          <w:tcPr>
            <w:tcW w:w="283"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13</w:t>
            </w:r>
          </w:p>
        </w:tc>
        <w:tc>
          <w:tcPr>
            <w:tcW w:w="638"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5010000000</w:t>
            </w:r>
          </w:p>
        </w:tc>
        <w:tc>
          <w:tcPr>
            <w:tcW w:w="285" w:type="pct"/>
          </w:tcPr>
          <w:p w:rsidR="00282574" w:rsidRPr="00282574" w:rsidRDefault="00282574" w:rsidP="00282574">
            <w:pPr>
              <w:spacing w:after="0" w:line="240" w:lineRule="auto"/>
              <w:jc w:val="center"/>
              <w:rPr>
                <w:rFonts w:ascii="Times New Roman" w:eastAsia="Calibri" w:hAnsi="Times New Roman" w:cs="Times New Roman"/>
                <w:sz w:val="20"/>
                <w:szCs w:val="20"/>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40 800,00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Calibri" w:hAnsi="Times New Roman" w:cs="Times New Roman"/>
                <w:sz w:val="20"/>
                <w:szCs w:val="20"/>
              </w:rPr>
            </w:pPr>
            <w:r w:rsidRPr="00282574">
              <w:rPr>
                <w:rFonts w:ascii="Times New Roman" w:eastAsia="Calibri" w:hAnsi="Times New Roman" w:cs="Times New Roman"/>
                <w:sz w:val="20"/>
                <w:szCs w:val="20"/>
              </w:rPr>
              <w:t>Основное мероприятие «Оказание содействия в части создания условий по развитию социальных отраслей»</w:t>
            </w:r>
          </w:p>
        </w:tc>
        <w:tc>
          <w:tcPr>
            <w:tcW w:w="432"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908</w:t>
            </w:r>
          </w:p>
        </w:tc>
        <w:tc>
          <w:tcPr>
            <w:tcW w:w="284"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01</w:t>
            </w:r>
          </w:p>
        </w:tc>
        <w:tc>
          <w:tcPr>
            <w:tcW w:w="283"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13</w:t>
            </w:r>
          </w:p>
        </w:tc>
        <w:tc>
          <w:tcPr>
            <w:tcW w:w="638"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5010100000</w:t>
            </w:r>
          </w:p>
        </w:tc>
        <w:tc>
          <w:tcPr>
            <w:tcW w:w="285" w:type="pct"/>
          </w:tcPr>
          <w:p w:rsidR="00282574" w:rsidRPr="00282574" w:rsidRDefault="00282574" w:rsidP="00282574">
            <w:pPr>
              <w:spacing w:after="0" w:line="240" w:lineRule="auto"/>
              <w:jc w:val="center"/>
              <w:rPr>
                <w:rFonts w:ascii="Times New Roman" w:eastAsia="Calibri" w:hAnsi="Times New Roman" w:cs="Times New Roman"/>
                <w:sz w:val="20"/>
                <w:szCs w:val="20"/>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40 800,00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Calibri" w:hAnsi="Times New Roman" w:cs="Times New Roman"/>
                <w:sz w:val="20"/>
                <w:szCs w:val="20"/>
              </w:rPr>
            </w:pPr>
            <w:r w:rsidRPr="00282574">
              <w:rPr>
                <w:rFonts w:ascii="Times New Roman" w:eastAsia="Calibri" w:hAnsi="Times New Roman" w:cs="Times New Roman"/>
                <w:sz w:val="20"/>
                <w:szCs w:val="20"/>
              </w:rPr>
              <w:t>Мероприятие «Обеспечение деятельности Совета ветеранов»</w:t>
            </w:r>
          </w:p>
        </w:tc>
        <w:tc>
          <w:tcPr>
            <w:tcW w:w="432"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908</w:t>
            </w:r>
          </w:p>
        </w:tc>
        <w:tc>
          <w:tcPr>
            <w:tcW w:w="284"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01</w:t>
            </w:r>
          </w:p>
        </w:tc>
        <w:tc>
          <w:tcPr>
            <w:tcW w:w="283"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13</w:t>
            </w:r>
          </w:p>
        </w:tc>
        <w:tc>
          <w:tcPr>
            <w:tcW w:w="638"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5010101000</w:t>
            </w:r>
          </w:p>
        </w:tc>
        <w:tc>
          <w:tcPr>
            <w:tcW w:w="285" w:type="pct"/>
          </w:tcPr>
          <w:p w:rsidR="00282574" w:rsidRPr="00282574" w:rsidRDefault="00282574" w:rsidP="00282574">
            <w:pPr>
              <w:spacing w:after="0" w:line="240" w:lineRule="auto"/>
              <w:jc w:val="center"/>
              <w:rPr>
                <w:rFonts w:ascii="Times New Roman" w:eastAsia="Calibri" w:hAnsi="Times New Roman" w:cs="Times New Roman"/>
                <w:sz w:val="20"/>
                <w:szCs w:val="20"/>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40 800,00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Calibri" w:hAnsi="Times New Roman" w:cs="Times New Roman"/>
                <w:sz w:val="20"/>
                <w:szCs w:val="20"/>
              </w:rPr>
            </w:pPr>
            <w:r w:rsidRPr="00282574">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908</w:t>
            </w:r>
          </w:p>
        </w:tc>
        <w:tc>
          <w:tcPr>
            <w:tcW w:w="284"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01</w:t>
            </w:r>
          </w:p>
        </w:tc>
        <w:tc>
          <w:tcPr>
            <w:tcW w:w="283"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13</w:t>
            </w:r>
          </w:p>
        </w:tc>
        <w:tc>
          <w:tcPr>
            <w:tcW w:w="638"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5010101000</w:t>
            </w:r>
          </w:p>
        </w:tc>
        <w:tc>
          <w:tcPr>
            <w:tcW w:w="285" w:type="pct"/>
          </w:tcPr>
          <w:p w:rsidR="00282574" w:rsidRPr="00282574" w:rsidRDefault="00282574" w:rsidP="00282574">
            <w:pPr>
              <w:spacing w:after="0" w:line="240" w:lineRule="auto"/>
              <w:jc w:val="center"/>
              <w:rPr>
                <w:rFonts w:ascii="Times New Roman" w:eastAsia="Calibri" w:hAnsi="Times New Roman" w:cs="Times New Roman"/>
                <w:sz w:val="20"/>
                <w:szCs w:val="20"/>
              </w:rPr>
            </w:pPr>
            <w:r w:rsidRPr="00282574">
              <w:rPr>
                <w:rFonts w:ascii="Times New Roman" w:eastAsia="Calibri" w:hAnsi="Times New Roman" w:cs="Times New Roman"/>
                <w:sz w:val="20"/>
                <w:szCs w:val="20"/>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40 800,00</w:t>
            </w:r>
          </w:p>
        </w:tc>
        <w:tc>
          <w:tcPr>
            <w:tcW w:w="71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0,00</w:t>
            </w:r>
          </w:p>
        </w:tc>
        <w:tc>
          <w:tcPr>
            <w:tcW w:w="690"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3"/>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26 400,00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26 400,00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26 400,00</w:t>
            </w:r>
          </w:p>
        </w:tc>
      </w:tr>
      <w:tr w:rsidR="00282574" w:rsidRPr="00282574" w:rsidTr="00311D46">
        <w:trPr>
          <w:trHeight w:val="26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282574">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5050200000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26 400,00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26 400,00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26 400,00</w:t>
            </w:r>
          </w:p>
        </w:tc>
      </w:tr>
      <w:tr w:rsidR="00282574" w:rsidRPr="00282574" w:rsidTr="00311D46">
        <w:trPr>
          <w:trHeight w:val="26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282574">
              <w:rPr>
                <w:rFonts w:ascii="Times New Roman" w:eastAsia="Times New Roman" w:hAnsi="Times New Roman" w:cs="Times New Roman"/>
                <w:color w:val="000000"/>
                <w:sz w:val="20"/>
                <w:szCs w:val="20"/>
                <w:shd w:val="clear" w:color="auto" w:fill="FFFFFF"/>
                <w:lang w:eastAsia="ru-RU"/>
              </w:rPr>
              <w:t xml:space="preserve">Мероприятие «Осуществление </w:t>
            </w:r>
            <w:r w:rsidRPr="00282574">
              <w:rPr>
                <w:rFonts w:ascii="Times New Roman" w:eastAsia="Times New Roman" w:hAnsi="Times New Roman" w:cs="Times New Roman"/>
                <w:color w:val="000000"/>
                <w:sz w:val="20"/>
                <w:szCs w:val="20"/>
                <w:shd w:val="clear" w:color="auto" w:fill="FFFFFF"/>
                <w:lang w:eastAsia="ru-RU"/>
              </w:rPr>
              <w:lastRenderedPageBreak/>
              <w:t>части полномочий по решению вопросов местного значения в соответствии с заключенными соглашениями»</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5050201000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26 400,00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26 400,00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26 400,00</w:t>
            </w:r>
          </w:p>
        </w:tc>
      </w:tr>
      <w:tr w:rsidR="00282574" w:rsidRPr="00282574" w:rsidTr="00311D46">
        <w:trPr>
          <w:trHeight w:val="261"/>
        </w:trPr>
        <w:tc>
          <w:tcPr>
            <w:tcW w:w="969" w:type="pct"/>
          </w:tcPr>
          <w:p w:rsidR="00282574" w:rsidRPr="00282574" w:rsidRDefault="00282574" w:rsidP="00282574">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282574">
              <w:rPr>
                <w:rFonts w:ascii="Times New Roman" w:eastAsia="Times New Roman" w:hAnsi="Times New Roman" w:cs="Times New Roman"/>
                <w:color w:val="000000"/>
                <w:sz w:val="20"/>
                <w:szCs w:val="20"/>
                <w:shd w:val="clear" w:color="auto" w:fill="FFFFFF"/>
                <w:lang w:eastAsia="ru-RU"/>
              </w:rPr>
              <w:lastRenderedPageBreak/>
              <w:t>Межбюджетные трансферты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5050201000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26 400,00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26 400,00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26 400,00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Непрограммное направление расходов</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1 310 000,00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1 297 982,00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1 297 382,00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Прочие непрограммные</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80 000,00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80 000,00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Землеустройство и землепользование</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6500200500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80 000,00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80 000,00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6500200500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80 000,00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80 000,00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5"/>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Другие общегосударственные вопросы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6500200600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1 210 000,00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1 217 982,00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1 217 382,00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6500200600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1 200 000,00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1 207 982,00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1 207 382,00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Иные бюджетные ассигнования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6500200600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800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140 000,00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140 000,00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140 000,00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140 000,00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140 000,00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140 000,00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Подпрограмма «Повышение безопасности населения»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5030000000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140 000,00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140 000,00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 xml:space="preserve">Основное мероприятие «Повышение уровня защиты </w:t>
            </w:r>
            <w:r w:rsidRPr="00282574">
              <w:rPr>
                <w:rFonts w:ascii="Times New Roman" w:eastAsia="Times New Roman" w:hAnsi="Times New Roman" w:cs="Times New Roman"/>
                <w:sz w:val="20"/>
                <w:szCs w:val="20"/>
                <w:lang w:eastAsia="ru-RU"/>
              </w:rPr>
              <w:lastRenderedPageBreak/>
              <w:t>населения и территорий от чрезвычайных ситуаций природного и техногенного характера»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5030100000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140 000,00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140 000,00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Мероприятие «Обеспечение и проведение противопожарных мероприятий»</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5030101000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140 000,00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140 000,00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5030101000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140 000,00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140 000,00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Национальная экономика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1 680 000,00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1 561 000,00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1 649 000,00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Дорожное хозяйство (дорожные фонды)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09</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1 680 000,00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1 561 000,00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1 649 000,00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09</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1 680 000,00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1 561 000,00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1 649 000,00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Подпрограмма «Развитие транспортной системы»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09</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5040000000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1 680 000,00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1 561 000,00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1 649 000,00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09</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5040100000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1 640 000,00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1 561 000,00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1 649 000,00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09</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5040101000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1 640 000,00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1 541 000,00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1 629 000,00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09</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5040101000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1 640 000,00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1 541 000,00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1 629 000,00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09</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5040102000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04</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09</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5040102000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Жилищно-коммунальное хозяйство</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1 801 000,00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1 336 000,00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1 421 000,00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Жилищное хозяйство</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55 000,00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60 000,00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55 000,00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60 000,00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55 000,00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Основное мероприятие «Жилищное хозяйство»</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5020100000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55 000,00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5020101000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55 000,00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5020101000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55 000,00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Коммунальное хозяйство</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200 000,00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300 000,00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b/>
                <w:sz w:val="20"/>
                <w:szCs w:val="20"/>
              </w:rPr>
              <w:t>200 000,00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b/>
                <w:sz w:val="20"/>
                <w:szCs w:val="20"/>
              </w:rPr>
              <w:t>300 000,00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300 000,00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Основное мероприятие «Коммунальное хозяйство»</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5020200000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300 000,00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 xml:space="preserve">Мероприятие «Подготовка объектов </w:t>
            </w:r>
            <w:r w:rsidRPr="00282574">
              <w:rPr>
                <w:rFonts w:ascii="Times New Roman" w:eastAsia="Times New Roman" w:hAnsi="Times New Roman" w:cs="Times New Roman"/>
                <w:sz w:val="20"/>
                <w:szCs w:val="20"/>
                <w:lang w:eastAsia="ru-RU"/>
              </w:rPr>
              <w:lastRenderedPageBreak/>
              <w:t>теплоснабжения к прохождению отопительного периода»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5020201000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150 000,00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5020201000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150 000,00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5020202000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150 000,00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02</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5020202000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150 000,00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Благоустройство</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1 341 000,00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1 081 000,00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1 061 000,00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1 091 000,00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1 021 000,00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1 001 000,00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1 091 000,00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1 021 000,00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1 001 000,00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 xml:space="preserve">Основное мероприятие «Благоустройство»  </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5020300000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1 091 000,00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1 021 000,00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1 001 000,00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«Уличное освещение»</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5020301000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651 000,00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651 000,00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631 000,00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5020301000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650 000,00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650 000,00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630 000,00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Иные бюджетные ассигнования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5020301000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800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«Благоустройство поселения»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5020302000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440 000,00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370 000,00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370 000,00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5020302000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440 000,00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370 000,00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370 0000,00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Непрограммное направление расходов</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60 000,00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60 000,00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Прочие непрограммные расходы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60 000,00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6500200200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50 000,00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50 000,00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6500200200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50 000,00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50 000,00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50 000,00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Организация и содержание мест захоронения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6500200300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05</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03</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6500200300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Культура, кинематография</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08</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110 000,00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 xml:space="preserve"> Культура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08</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110 000,00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08</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110 000,00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Подпрограмма «Развитие социальной инфраструктуры»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08</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5010000000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110 000,00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3"/>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08</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5010100000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110 000,00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3"/>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08</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5010102000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110 000,00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3"/>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 xml:space="preserve">Закупка товаров, работ и услуг для </w:t>
            </w:r>
            <w:r w:rsidRPr="00282574">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08</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5010102000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110 000,00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110 000,00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110 000,00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lastRenderedPageBreak/>
              <w:t>Физическая культура и спорт</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00</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Физическая культура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5000000000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b/>
                <w:sz w:val="20"/>
                <w:szCs w:val="20"/>
              </w:rPr>
            </w:pPr>
            <w:r w:rsidRPr="00282574">
              <w:rPr>
                <w:rFonts w:ascii="Times New Roman" w:eastAsia="Calibri" w:hAnsi="Times New Roman" w:cs="Times New Roman"/>
                <w:b/>
                <w:sz w:val="20"/>
                <w:szCs w:val="20"/>
              </w:rPr>
              <w:t>20 000,00</w:t>
            </w:r>
          </w:p>
        </w:tc>
      </w:tr>
      <w:tr w:rsidR="00282574" w:rsidRPr="00282574" w:rsidTr="00311D46">
        <w:trPr>
          <w:trHeight w:val="261"/>
        </w:trPr>
        <w:tc>
          <w:tcPr>
            <w:tcW w:w="969" w:type="pct"/>
          </w:tcPr>
          <w:p w:rsidR="00282574" w:rsidRPr="00282574" w:rsidRDefault="00282574" w:rsidP="00282574">
            <w:pPr>
              <w:spacing w:after="0" w:line="240" w:lineRule="auto"/>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Подпрограмма «Развитие социальной инфраструктуры»</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5010000000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3"/>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5010100000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3"/>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5010103000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r>
      <w:tr w:rsidR="00282574" w:rsidRPr="00282574" w:rsidTr="00311D46">
        <w:trPr>
          <w:trHeight w:val="261"/>
        </w:trPr>
        <w:tc>
          <w:tcPr>
            <w:tcW w:w="969" w:type="pct"/>
            <w:vAlign w:val="center"/>
          </w:tcPr>
          <w:p w:rsidR="00282574" w:rsidRPr="00282574" w:rsidRDefault="00282574" w:rsidP="00282574">
            <w:pPr>
              <w:spacing w:after="0" w:line="240" w:lineRule="auto"/>
              <w:outlineLvl w:val="3"/>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2"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908</w:t>
            </w:r>
          </w:p>
        </w:tc>
        <w:tc>
          <w:tcPr>
            <w:tcW w:w="284"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11</w:t>
            </w:r>
          </w:p>
        </w:tc>
        <w:tc>
          <w:tcPr>
            <w:tcW w:w="283"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01</w:t>
            </w:r>
          </w:p>
        </w:tc>
        <w:tc>
          <w:tcPr>
            <w:tcW w:w="638"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5010103000</w:t>
            </w:r>
          </w:p>
        </w:tc>
        <w:tc>
          <w:tcPr>
            <w:tcW w:w="285" w:type="pct"/>
          </w:tcPr>
          <w:p w:rsidR="00282574" w:rsidRPr="00282574" w:rsidRDefault="00282574" w:rsidP="00282574">
            <w:pPr>
              <w:spacing w:after="0" w:line="240" w:lineRule="auto"/>
              <w:jc w:val="center"/>
              <w:rPr>
                <w:rFonts w:ascii="Times New Roman" w:eastAsia="Times New Roman" w:hAnsi="Times New Roman" w:cs="Times New Roman"/>
                <w:sz w:val="20"/>
                <w:szCs w:val="20"/>
                <w:lang w:eastAsia="ru-RU"/>
              </w:rPr>
            </w:pPr>
            <w:r w:rsidRPr="00282574">
              <w:rPr>
                <w:rFonts w:ascii="Times New Roman" w:eastAsia="Times New Roman" w:hAnsi="Times New Roman" w:cs="Times New Roman"/>
                <w:sz w:val="20"/>
                <w:szCs w:val="20"/>
                <w:lang w:eastAsia="ru-RU"/>
              </w:rPr>
              <w:t>200</w:t>
            </w:r>
          </w:p>
        </w:tc>
        <w:tc>
          <w:tcPr>
            <w:tcW w:w="709" w:type="pct"/>
          </w:tcPr>
          <w:p w:rsidR="00282574" w:rsidRPr="00282574" w:rsidRDefault="00282574" w:rsidP="00282574">
            <w:pPr>
              <w:spacing w:after="0" w:line="240" w:lineRule="auto"/>
              <w:jc w:val="right"/>
              <w:rPr>
                <w:rFonts w:ascii="Times New Roman" w:eastAsia="Calibri" w:hAnsi="Times New Roman" w:cs="Times New Roman"/>
                <w:color w:val="000000"/>
                <w:sz w:val="20"/>
                <w:szCs w:val="20"/>
              </w:rPr>
            </w:pPr>
            <w:r w:rsidRPr="00282574">
              <w:rPr>
                <w:rFonts w:ascii="Times New Roman" w:eastAsia="Calibri" w:hAnsi="Times New Roman" w:cs="Times New Roman"/>
                <w:color w:val="000000"/>
                <w:sz w:val="20"/>
                <w:szCs w:val="20"/>
              </w:rPr>
              <w:t>20 000,00</w:t>
            </w:r>
          </w:p>
        </w:tc>
        <w:tc>
          <w:tcPr>
            <w:tcW w:w="71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c>
          <w:tcPr>
            <w:tcW w:w="690" w:type="pct"/>
          </w:tcPr>
          <w:p w:rsidR="00282574" w:rsidRPr="00282574" w:rsidRDefault="00282574" w:rsidP="00282574">
            <w:pPr>
              <w:spacing w:after="0" w:line="240" w:lineRule="auto"/>
              <w:jc w:val="right"/>
              <w:rPr>
                <w:rFonts w:ascii="Times New Roman" w:eastAsia="Calibri" w:hAnsi="Times New Roman" w:cs="Times New Roman"/>
                <w:sz w:val="20"/>
                <w:szCs w:val="20"/>
              </w:rPr>
            </w:pPr>
            <w:r w:rsidRPr="00282574">
              <w:rPr>
                <w:rFonts w:ascii="Times New Roman" w:eastAsia="Calibri" w:hAnsi="Times New Roman" w:cs="Times New Roman"/>
                <w:sz w:val="20"/>
                <w:szCs w:val="20"/>
              </w:rPr>
              <w:t>20 000,00</w:t>
            </w:r>
          </w:p>
        </w:tc>
      </w:tr>
      <w:tr w:rsidR="00311D46" w:rsidRPr="00282574" w:rsidTr="00311D46">
        <w:trPr>
          <w:trHeight w:val="261"/>
        </w:trPr>
        <w:tc>
          <w:tcPr>
            <w:tcW w:w="5000" w:type="pct"/>
            <w:gridSpan w:val="9"/>
            <w:tcBorders>
              <w:left w:val="nil"/>
              <w:bottom w:val="nil"/>
              <w:right w:val="nil"/>
            </w:tcBorders>
            <w:vAlign w:val="center"/>
          </w:tcPr>
          <w:p w:rsidR="00311D46" w:rsidRDefault="00311D46" w:rsidP="0028257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11D46" w:rsidRDefault="00311D46" w:rsidP="00282574">
            <w:pPr>
              <w:spacing w:after="0" w:line="240" w:lineRule="auto"/>
              <w:jc w:val="center"/>
              <w:rPr>
                <w:rFonts w:ascii="Times New Roman" w:eastAsia="Times New Roman" w:hAnsi="Times New Roman" w:cs="Times New Roman"/>
                <w:sz w:val="20"/>
                <w:szCs w:val="20"/>
                <w:lang w:eastAsia="ru-RU"/>
              </w:rPr>
            </w:pPr>
          </w:p>
          <w:p w:rsidR="00311D46" w:rsidRDefault="00311D46" w:rsidP="00282574">
            <w:pPr>
              <w:spacing w:after="0" w:line="240" w:lineRule="auto"/>
              <w:jc w:val="center"/>
              <w:rPr>
                <w:rFonts w:ascii="Times New Roman" w:eastAsia="Times New Roman" w:hAnsi="Times New Roman" w:cs="Times New Roman"/>
                <w:sz w:val="20"/>
                <w:szCs w:val="20"/>
                <w:lang w:eastAsia="ru-RU"/>
              </w:rPr>
            </w:pPr>
          </w:p>
          <w:p w:rsidR="00311D46" w:rsidRDefault="00311D46" w:rsidP="00282574">
            <w:pPr>
              <w:spacing w:after="0" w:line="240" w:lineRule="auto"/>
              <w:jc w:val="center"/>
              <w:rPr>
                <w:rFonts w:ascii="Times New Roman" w:eastAsia="Times New Roman" w:hAnsi="Times New Roman" w:cs="Times New Roman"/>
                <w:sz w:val="20"/>
                <w:szCs w:val="20"/>
                <w:lang w:eastAsia="ru-RU"/>
              </w:rPr>
            </w:pPr>
            <w:bookmarkStart w:id="0" w:name="_GoBack"/>
            <w:bookmarkEnd w:id="0"/>
          </w:p>
          <w:p w:rsidR="00311D46" w:rsidRDefault="00311D46" w:rsidP="00282574">
            <w:pPr>
              <w:spacing w:after="0" w:line="240" w:lineRule="auto"/>
              <w:jc w:val="center"/>
              <w:rPr>
                <w:rFonts w:ascii="Times New Roman" w:eastAsia="Times New Roman" w:hAnsi="Times New Roman" w:cs="Times New Roman"/>
                <w:sz w:val="20"/>
                <w:szCs w:val="20"/>
                <w:lang w:eastAsia="ru-RU"/>
              </w:rPr>
            </w:pPr>
          </w:p>
          <w:p w:rsidR="00311D46" w:rsidRDefault="00311D46" w:rsidP="00282574">
            <w:pPr>
              <w:spacing w:after="0" w:line="240" w:lineRule="auto"/>
              <w:jc w:val="center"/>
              <w:rPr>
                <w:rFonts w:ascii="Times New Roman" w:eastAsia="Times New Roman" w:hAnsi="Times New Roman" w:cs="Times New Roman"/>
                <w:sz w:val="20"/>
                <w:szCs w:val="20"/>
                <w:lang w:eastAsia="ru-RU"/>
              </w:rPr>
            </w:pPr>
          </w:p>
          <w:p w:rsidR="00311D46" w:rsidRDefault="00311D46" w:rsidP="00282574">
            <w:pPr>
              <w:spacing w:after="0" w:line="240" w:lineRule="auto"/>
              <w:jc w:val="center"/>
              <w:rPr>
                <w:rFonts w:ascii="Times New Roman" w:eastAsia="Times New Roman" w:hAnsi="Times New Roman" w:cs="Times New Roman"/>
                <w:sz w:val="20"/>
                <w:szCs w:val="20"/>
                <w:lang w:eastAsia="ru-RU"/>
              </w:rPr>
            </w:pPr>
          </w:p>
          <w:p w:rsidR="00311D46" w:rsidRDefault="00311D46" w:rsidP="00282574">
            <w:pPr>
              <w:spacing w:after="0" w:line="240" w:lineRule="auto"/>
              <w:jc w:val="center"/>
              <w:rPr>
                <w:rFonts w:ascii="Times New Roman" w:eastAsia="Times New Roman" w:hAnsi="Times New Roman" w:cs="Times New Roman"/>
                <w:sz w:val="20"/>
                <w:szCs w:val="20"/>
                <w:lang w:eastAsia="ru-RU"/>
              </w:rPr>
            </w:pPr>
          </w:p>
          <w:p w:rsidR="00311D46" w:rsidRDefault="00311D46" w:rsidP="00282574">
            <w:pPr>
              <w:spacing w:after="0" w:line="240" w:lineRule="auto"/>
              <w:jc w:val="center"/>
              <w:rPr>
                <w:rFonts w:ascii="Times New Roman" w:eastAsia="Times New Roman" w:hAnsi="Times New Roman" w:cs="Times New Roman"/>
                <w:sz w:val="20"/>
                <w:szCs w:val="20"/>
                <w:lang w:eastAsia="ru-RU"/>
              </w:rPr>
            </w:pPr>
          </w:p>
          <w:p w:rsidR="00311D46" w:rsidRPr="00282574" w:rsidRDefault="00311D46" w:rsidP="00282574">
            <w:pPr>
              <w:spacing w:after="0" w:line="240" w:lineRule="auto"/>
              <w:jc w:val="right"/>
              <w:rPr>
                <w:rFonts w:ascii="Times New Roman" w:eastAsia="Calibri" w:hAnsi="Times New Roman" w:cs="Times New Roman"/>
                <w:sz w:val="20"/>
                <w:szCs w:val="20"/>
              </w:rPr>
            </w:pPr>
          </w:p>
        </w:tc>
      </w:tr>
    </w:tbl>
    <w:p w:rsidR="00282574" w:rsidRPr="00282574" w:rsidRDefault="00282574" w:rsidP="00282574">
      <w:pPr>
        <w:spacing w:after="0" w:line="240" w:lineRule="auto"/>
        <w:jc w:val="center"/>
        <w:rPr>
          <w:rFonts w:ascii="Times New Roman" w:eastAsia="Times New Roman" w:hAnsi="Times New Roman" w:cs="Times New Roman"/>
          <w:sz w:val="26"/>
          <w:szCs w:val="26"/>
          <w:lang w:eastAsia="ru-RU"/>
        </w:rPr>
      </w:pPr>
    </w:p>
    <w:p w:rsidR="00EF6A7D" w:rsidRDefault="00EF6A7D" w:rsidP="004C4AB9">
      <w:pPr>
        <w:jc w:val="right"/>
        <w:rPr>
          <w:rFonts w:ascii="Times New Roman" w:eastAsia="Times New Roman" w:hAnsi="Times New Roman" w:cs="Times New Roman"/>
          <w:b/>
          <w:sz w:val="24"/>
          <w:szCs w:val="24"/>
          <w:lang w:eastAsia="ru-RU"/>
        </w:rPr>
      </w:pPr>
    </w:p>
    <w:sectPr w:rsidR="00EF6A7D"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AC" w:rsidRDefault="00F26FAC" w:rsidP="00B52DA5">
      <w:pPr>
        <w:spacing w:after="0" w:line="240" w:lineRule="auto"/>
      </w:pPr>
      <w:r>
        <w:separator/>
      </w:r>
    </w:p>
  </w:endnote>
  <w:endnote w:type="continuationSeparator" w:id="0">
    <w:p w:rsidR="00F26FAC" w:rsidRDefault="00F26FAC"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AC" w:rsidRDefault="00F26FAC" w:rsidP="00B52DA5">
      <w:pPr>
        <w:spacing w:after="0" w:line="240" w:lineRule="auto"/>
      </w:pPr>
      <w:r>
        <w:separator/>
      </w:r>
    </w:p>
  </w:footnote>
  <w:footnote w:type="continuationSeparator" w:id="0">
    <w:p w:rsidR="00F26FAC" w:rsidRDefault="00F26FAC"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2C306398"/>
    <w:multiLevelType w:val="hybridMultilevel"/>
    <w:tmpl w:val="362C823E"/>
    <w:lvl w:ilvl="0" w:tplc="508ED670">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D6B4F"/>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527E728C"/>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11">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0"/>
  </w:num>
  <w:num w:numId="10">
    <w:abstractNumId w:val="7"/>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10256F"/>
    <w:rsid w:val="00160F6C"/>
    <w:rsid w:val="001725DF"/>
    <w:rsid w:val="001D1658"/>
    <w:rsid w:val="00233920"/>
    <w:rsid w:val="00282574"/>
    <w:rsid w:val="00285E06"/>
    <w:rsid w:val="002D31ED"/>
    <w:rsid w:val="002D52DE"/>
    <w:rsid w:val="00311D46"/>
    <w:rsid w:val="003369BD"/>
    <w:rsid w:val="003C3E51"/>
    <w:rsid w:val="00403854"/>
    <w:rsid w:val="0041584B"/>
    <w:rsid w:val="00437C8D"/>
    <w:rsid w:val="00470E5C"/>
    <w:rsid w:val="00477F6C"/>
    <w:rsid w:val="004C4AB9"/>
    <w:rsid w:val="004E171B"/>
    <w:rsid w:val="00575C84"/>
    <w:rsid w:val="005C6208"/>
    <w:rsid w:val="005F65F5"/>
    <w:rsid w:val="0061363D"/>
    <w:rsid w:val="00627C2D"/>
    <w:rsid w:val="00640BF8"/>
    <w:rsid w:val="006661A1"/>
    <w:rsid w:val="00723688"/>
    <w:rsid w:val="00750434"/>
    <w:rsid w:val="007518D3"/>
    <w:rsid w:val="00766114"/>
    <w:rsid w:val="00876F03"/>
    <w:rsid w:val="00882267"/>
    <w:rsid w:val="008A0675"/>
    <w:rsid w:val="008B2C02"/>
    <w:rsid w:val="008E37DF"/>
    <w:rsid w:val="00904F94"/>
    <w:rsid w:val="009A4C2F"/>
    <w:rsid w:val="009E303A"/>
    <w:rsid w:val="009E4A1C"/>
    <w:rsid w:val="00A64C80"/>
    <w:rsid w:val="00B13750"/>
    <w:rsid w:val="00B52DA5"/>
    <w:rsid w:val="00BF6368"/>
    <w:rsid w:val="00C120A2"/>
    <w:rsid w:val="00C202E6"/>
    <w:rsid w:val="00C31F4D"/>
    <w:rsid w:val="00C36289"/>
    <w:rsid w:val="00C53B8A"/>
    <w:rsid w:val="00C57A0C"/>
    <w:rsid w:val="00C93ABF"/>
    <w:rsid w:val="00D473B0"/>
    <w:rsid w:val="00D6491D"/>
    <w:rsid w:val="00D73410"/>
    <w:rsid w:val="00D75011"/>
    <w:rsid w:val="00E06154"/>
    <w:rsid w:val="00E100A7"/>
    <w:rsid w:val="00E2481D"/>
    <w:rsid w:val="00E77383"/>
    <w:rsid w:val="00E9041F"/>
    <w:rsid w:val="00EF6A7D"/>
    <w:rsid w:val="00F25DCA"/>
    <w:rsid w:val="00F26FAC"/>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282574"/>
  </w:style>
  <w:style w:type="numbering" w:customStyle="1" w:styleId="130">
    <w:name w:val="Нет списка13"/>
    <w:next w:val="a2"/>
    <w:semiHidden/>
    <w:rsid w:val="0028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43</cp:revision>
  <cp:lastPrinted>2022-12-01T08:16:00Z</cp:lastPrinted>
  <dcterms:created xsi:type="dcterms:W3CDTF">2022-01-18T04:09:00Z</dcterms:created>
  <dcterms:modified xsi:type="dcterms:W3CDTF">2022-12-01T08:16:00Z</dcterms:modified>
</cp:coreProperties>
</file>